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DA516D" w14:textId="41E9D02F" w:rsidR="007D03E4" w:rsidRPr="007D03E4" w:rsidRDefault="007D03E4" w:rsidP="007D03E4">
      <w:pPr>
        <w:tabs>
          <w:tab w:val="left" w:pos="224"/>
          <w:tab w:val="center" w:pos="4513"/>
        </w:tabs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ab/>
      </w:r>
      <w:r w:rsidRPr="007D03E4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 xml:space="preserve">COREQ 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Check List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3"/>
        <w:gridCol w:w="1958"/>
        <w:gridCol w:w="5245"/>
      </w:tblGrid>
      <w:tr w:rsidR="007D03E4" w:rsidRPr="007D03E4" w14:paraId="44343EF1" w14:textId="77777777" w:rsidTr="007D03E4">
        <w:trPr>
          <w:tblHeader/>
          <w:tblCellSpacing w:w="15" w:type="dxa"/>
        </w:trPr>
        <w:tc>
          <w:tcPr>
            <w:tcW w:w="0" w:type="auto"/>
            <w:tcBorders>
              <w:top w:val="single" w:sz="4" w:space="0" w:color="auto"/>
            </w:tcBorders>
            <w:vAlign w:val="center"/>
            <w:hideMark/>
          </w:tcPr>
          <w:p w14:paraId="61729FA9" w14:textId="77777777" w:rsidR="007D03E4" w:rsidRPr="007D03E4" w:rsidRDefault="007D03E4" w:rsidP="007D03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  <w:t>COREQ Domain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  <w:hideMark/>
          </w:tcPr>
          <w:p w14:paraId="0563F7CE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  <w:t>Item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  <w:hideMark/>
          </w:tcPr>
          <w:p w14:paraId="67265268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  <w:t>Description (as reported in manuscript)</w:t>
            </w:r>
          </w:p>
        </w:tc>
      </w:tr>
      <w:tr w:rsidR="007D03E4" w:rsidRPr="007D03E4" w14:paraId="14220DB5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35F7141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  <w:t>Research team &amp; reflexivity</w:t>
            </w:r>
          </w:p>
        </w:tc>
        <w:tc>
          <w:tcPr>
            <w:tcW w:w="0" w:type="auto"/>
            <w:vAlign w:val="center"/>
            <w:hideMark/>
          </w:tcPr>
          <w:p w14:paraId="1F888BF4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Interviewer</w:t>
            </w:r>
          </w:p>
        </w:tc>
        <w:tc>
          <w:tcPr>
            <w:tcW w:w="0" w:type="auto"/>
            <w:vAlign w:val="center"/>
            <w:hideMark/>
          </w:tcPr>
          <w:p w14:paraId="546DD21A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Focus group discussions facilitated by ED, the lead qualitative researcher.</w:t>
            </w:r>
          </w:p>
        </w:tc>
      </w:tr>
      <w:tr w:rsidR="007D03E4" w:rsidRPr="007D03E4" w14:paraId="6E8BE51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9749F8F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A1A23BE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Credentials</w:t>
            </w:r>
          </w:p>
        </w:tc>
        <w:tc>
          <w:tcPr>
            <w:tcW w:w="0" w:type="auto"/>
            <w:vAlign w:val="center"/>
            <w:hideMark/>
          </w:tcPr>
          <w:p w14:paraId="27D9EDFE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ED is a sociologist with formal training and extensive experience in qualitative research.</w:t>
            </w:r>
          </w:p>
        </w:tc>
      </w:tr>
      <w:tr w:rsidR="007D03E4" w:rsidRPr="007D03E4" w14:paraId="6C58934B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7DF9512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7668990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Occupation</w:t>
            </w:r>
          </w:p>
        </w:tc>
        <w:tc>
          <w:tcPr>
            <w:tcW w:w="0" w:type="auto"/>
            <w:vAlign w:val="center"/>
            <w:hideMark/>
          </w:tcPr>
          <w:p w14:paraId="23B831BB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Academic researcher, University of Cape Town.</w:t>
            </w:r>
          </w:p>
        </w:tc>
      </w:tr>
      <w:tr w:rsidR="007D03E4" w:rsidRPr="007D03E4" w14:paraId="005EFCE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D17A593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F37BF83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Gender</w:t>
            </w:r>
          </w:p>
        </w:tc>
        <w:tc>
          <w:tcPr>
            <w:tcW w:w="0" w:type="auto"/>
            <w:vAlign w:val="center"/>
            <w:hideMark/>
          </w:tcPr>
          <w:p w14:paraId="08BAC688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Female.</w:t>
            </w:r>
          </w:p>
        </w:tc>
      </w:tr>
      <w:tr w:rsidR="007D03E4" w:rsidRPr="007D03E4" w14:paraId="153330DC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718741E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02B9311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Experience</w:t>
            </w:r>
          </w:p>
        </w:tc>
        <w:tc>
          <w:tcPr>
            <w:tcW w:w="0" w:type="auto"/>
            <w:vAlign w:val="center"/>
            <w:hideMark/>
          </w:tcPr>
          <w:p w14:paraId="02B5D82F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Experienced in qualitative health professions education research.</w:t>
            </w:r>
          </w:p>
        </w:tc>
      </w:tr>
      <w:tr w:rsidR="007D03E4" w:rsidRPr="007D03E4" w14:paraId="20E79F3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7E61AB9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19C21E6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Prior relationship</w:t>
            </w:r>
          </w:p>
        </w:tc>
        <w:tc>
          <w:tcPr>
            <w:tcW w:w="0" w:type="auto"/>
            <w:vAlign w:val="center"/>
            <w:hideMark/>
          </w:tcPr>
          <w:p w14:paraId="5DCD1D3D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No prior relationship between interviewer and participants.</w:t>
            </w:r>
          </w:p>
        </w:tc>
      </w:tr>
      <w:tr w:rsidR="007D03E4" w:rsidRPr="007D03E4" w14:paraId="5A3910D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D35E5C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7D7F2C5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Participant knowledge</w:t>
            </w:r>
          </w:p>
        </w:tc>
        <w:tc>
          <w:tcPr>
            <w:tcW w:w="0" w:type="auto"/>
            <w:vAlign w:val="center"/>
            <w:hideMark/>
          </w:tcPr>
          <w:p w14:paraId="32895971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Participants were informed that the interviewer was not a clinician, supervisor, or assessor and had no role in training decisions.</w:t>
            </w:r>
          </w:p>
        </w:tc>
      </w:tr>
      <w:tr w:rsidR="007D03E4" w:rsidRPr="007D03E4" w14:paraId="512A0FA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A485C00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4FE5FEB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Reflexivity</w:t>
            </w:r>
          </w:p>
        </w:tc>
        <w:tc>
          <w:tcPr>
            <w:tcW w:w="0" w:type="auto"/>
            <w:vAlign w:val="center"/>
            <w:hideMark/>
          </w:tcPr>
          <w:p w14:paraId="4DB26DC5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Interviewer’s position outside the medical hierarchy was explicitly considered to minimise power differentials.</w:t>
            </w:r>
          </w:p>
        </w:tc>
      </w:tr>
      <w:tr w:rsidR="007D03E4" w:rsidRPr="007D03E4" w14:paraId="4E4EBFF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5A6975C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  <w:t>Study design</w:t>
            </w:r>
          </w:p>
        </w:tc>
        <w:tc>
          <w:tcPr>
            <w:tcW w:w="0" w:type="auto"/>
            <w:vAlign w:val="center"/>
            <w:hideMark/>
          </w:tcPr>
          <w:p w14:paraId="730998A2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Methodological orientation</w:t>
            </w:r>
          </w:p>
        </w:tc>
        <w:tc>
          <w:tcPr>
            <w:tcW w:w="0" w:type="auto"/>
            <w:vAlign w:val="center"/>
            <w:hideMark/>
          </w:tcPr>
          <w:p w14:paraId="5231747D" w14:textId="1A1FBA4A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Inductive qualitative design using reflexive thematic analysis</w:t>
            </w:r>
          </w:p>
        </w:tc>
      </w:tr>
      <w:tr w:rsidR="007D03E4" w:rsidRPr="007D03E4" w14:paraId="57AE032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E285248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  <w:t>Participant selection</w:t>
            </w:r>
          </w:p>
        </w:tc>
        <w:tc>
          <w:tcPr>
            <w:tcW w:w="0" w:type="auto"/>
            <w:vAlign w:val="center"/>
            <w:hideMark/>
          </w:tcPr>
          <w:p w14:paraId="2BE97A49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Sampling</w:t>
            </w:r>
          </w:p>
        </w:tc>
        <w:tc>
          <w:tcPr>
            <w:tcW w:w="0" w:type="auto"/>
            <w:vAlign w:val="center"/>
            <w:hideMark/>
          </w:tcPr>
          <w:p w14:paraId="37050C1A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Purposive sampling of postgraduate trainees from institutions participating in the national WBA pilot.</w:t>
            </w:r>
          </w:p>
        </w:tc>
      </w:tr>
      <w:tr w:rsidR="007D03E4" w:rsidRPr="007D03E4" w14:paraId="51C40F7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9BBFAD6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B92AD65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Recruitment</w:t>
            </w:r>
          </w:p>
        </w:tc>
        <w:tc>
          <w:tcPr>
            <w:tcW w:w="0" w:type="auto"/>
            <w:vAlign w:val="center"/>
            <w:hideMark/>
          </w:tcPr>
          <w:p w14:paraId="5512EABC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Invitation following attendance at institutional WBA onboarding workshops.</w:t>
            </w:r>
          </w:p>
        </w:tc>
      </w:tr>
      <w:tr w:rsidR="007D03E4" w:rsidRPr="007D03E4" w14:paraId="28177A6F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992ABB6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AD250A4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Sample size</w:t>
            </w:r>
          </w:p>
        </w:tc>
        <w:tc>
          <w:tcPr>
            <w:tcW w:w="0" w:type="auto"/>
            <w:vAlign w:val="center"/>
            <w:hideMark/>
          </w:tcPr>
          <w:p w14:paraId="316C7028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Phase 1: 84 participants (11 FGDs); Phase 2: 45 participants (7 FGDs).</w:t>
            </w:r>
          </w:p>
        </w:tc>
      </w:tr>
      <w:tr w:rsidR="007D03E4" w:rsidRPr="007D03E4" w14:paraId="25EC62A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C0CE3D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AB4D2CD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Non-participation</w:t>
            </w:r>
          </w:p>
        </w:tc>
        <w:tc>
          <w:tcPr>
            <w:tcW w:w="0" w:type="auto"/>
            <w:vAlign w:val="center"/>
            <w:hideMark/>
          </w:tcPr>
          <w:p w14:paraId="7607D7BD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Attrition between phases acknowledged and discussed as a limitation inherent to longitudinal qualitative research.</w:t>
            </w:r>
          </w:p>
        </w:tc>
      </w:tr>
      <w:tr w:rsidR="007D03E4" w:rsidRPr="007D03E4" w14:paraId="39BC09F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8905C6D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  <w:t>Setting</w:t>
            </w:r>
          </w:p>
        </w:tc>
        <w:tc>
          <w:tcPr>
            <w:tcW w:w="0" w:type="auto"/>
            <w:vAlign w:val="center"/>
            <w:hideMark/>
          </w:tcPr>
          <w:p w14:paraId="5536CCAA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Data collection setting</w:t>
            </w:r>
          </w:p>
        </w:tc>
        <w:tc>
          <w:tcPr>
            <w:tcW w:w="0" w:type="auto"/>
            <w:vAlign w:val="center"/>
            <w:hideMark/>
          </w:tcPr>
          <w:p w14:paraId="32567465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Online focus group discussions conducted via Zoom.</w:t>
            </w:r>
          </w:p>
        </w:tc>
      </w:tr>
      <w:tr w:rsidR="007D03E4" w:rsidRPr="007D03E4" w14:paraId="3DE45BA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DD79A00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33BFE91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Non-participants</w:t>
            </w:r>
          </w:p>
        </w:tc>
        <w:tc>
          <w:tcPr>
            <w:tcW w:w="0" w:type="auto"/>
            <w:vAlign w:val="center"/>
            <w:hideMark/>
          </w:tcPr>
          <w:p w14:paraId="3FA1D139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No non-participants present.</w:t>
            </w:r>
          </w:p>
        </w:tc>
      </w:tr>
      <w:tr w:rsidR="007D03E4" w:rsidRPr="007D03E4" w14:paraId="1ADBC8D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C9D4812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8E2C709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Sample description</w:t>
            </w:r>
          </w:p>
        </w:tc>
        <w:tc>
          <w:tcPr>
            <w:tcW w:w="0" w:type="auto"/>
            <w:vAlign w:val="center"/>
            <w:hideMark/>
          </w:tcPr>
          <w:p w14:paraId="6EFA7EB5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Postgraduate specialist trainees across 29 specialties at 7 South African universities.</w:t>
            </w:r>
          </w:p>
        </w:tc>
      </w:tr>
      <w:tr w:rsidR="007D03E4" w:rsidRPr="007D03E4" w14:paraId="26195C2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CB38BFB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  <w:t>Data collection</w:t>
            </w:r>
          </w:p>
        </w:tc>
        <w:tc>
          <w:tcPr>
            <w:tcW w:w="0" w:type="auto"/>
            <w:vAlign w:val="center"/>
            <w:hideMark/>
          </w:tcPr>
          <w:p w14:paraId="0F0E13C6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Interview guide</w:t>
            </w:r>
          </w:p>
        </w:tc>
        <w:tc>
          <w:tcPr>
            <w:tcW w:w="0" w:type="auto"/>
            <w:vAlign w:val="center"/>
            <w:hideMark/>
          </w:tcPr>
          <w:p w14:paraId="2A194283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Semi-structured guide developed by the research team and piloted prior to use.</w:t>
            </w:r>
          </w:p>
        </w:tc>
      </w:tr>
      <w:tr w:rsidR="007D03E4" w:rsidRPr="007D03E4" w14:paraId="7460EC2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5F21A37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3E49117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Repeat data collection</w:t>
            </w:r>
          </w:p>
        </w:tc>
        <w:tc>
          <w:tcPr>
            <w:tcW w:w="0" w:type="auto"/>
            <w:vAlign w:val="center"/>
            <w:hideMark/>
          </w:tcPr>
          <w:p w14:paraId="129EE26B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Longitudinal design with repeat FGDs approximately one year apart where feasible.</w:t>
            </w:r>
          </w:p>
        </w:tc>
      </w:tr>
      <w:tr w:rsidR="007D03E4" w:rsidRPr="007D03E4" w14:paraId="605C56A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550605F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78DEC03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Recording</w:t>
            </w:r>
          </w:p>
        </w:tc>
        <w:tc>
          <w:tcPr>
            <w:tcW w:w="0" w:type="auto"/>
            <w:vAlign w:val="center"/>
            <w:hideMark/>
          </w:tcPr>
          <w:p w14:paraId="5AA3FE36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Audio-recorded with participant consent.</w:t>
            </w:r>
          </w:p>
        </w:tc>
      </w:tr>
      <w:tr w:rsidR="007D03E4" w:rsidRPr="007D03E4" w14:paraId="4C6BA1B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1741F60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EE48B40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Field notes</w:t>
            </w:r>
          </w:p>
        </w:tc>
        <w:tc>
          <w:tcPr>
            <w:tcW w:w="0" w:type="auto"/>
            <w:vAlign w:val="center"/>
            <w:hideMark/>
          </w:tcPr>
          <w:p w14:paraId="50BF0D3C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Field notes taken to document contextual observations.</w:t>
            </w:r>
          </w:p>
        </w:tc>
      </w:tr>
      <w:tr w:rsidR="007D03E4" w:rsidRPr="007D03E4" w14:paraId="6076C8E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827F166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F64C2EE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Duration</w:t>
            </w:r>
          </w:p>
        </w:tc>
        <w:tc>
          <w:tcPr>
            <w:tcW w:w="0" w:type="auto"/>
            <w:vAlign w:val="center"/>
            <w:hideMark/>
          </w:tcPr>
          <w:p w14:paraId="2796D504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Approximately 60 minutes per focus group.</w:t>
            </w:r>
          </w:p>
        </w:tc>
      </w:tr>
      <w:tr w:rsidR="007D03E4" w:rsidRPr="007D03E4" w14:paraId="7821ECD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8062693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2F02BB62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Saturation</w:t>
            </w:r>
          </w:p>
        </w:tc>
        <w:tc>
          <w:tcPr>
            <w:tcW w:w="0" w:type="auto"/>
            <w:vAlign w:val="center"/>
            <w:hideMark/>
          </w:tcPr>
          <w:p w14:paraId="16DB5A3F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Thematic saturation reached early and confirmed through ongoing analysis.</w:t>
            </w:r>
          </w:p>
        </w:tc>
      </w:tr>
      <w:tr w:rsidR="007D03E4" w:rsidRPr="007D03E4" w14:paraId="47D01E5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887D8A9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E8F9C18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Transcript return</w:t>
            </w:r>
          </w:p>
        </w:tc>
        <w:tc>
          <w:tcPr>
            <w:tcW w:w="0" w:type="auto"/>
            <w:vAlign w:val="center"/>
            <w:hideMark/>
          </w:tcPr>
          <w:p w14:paraId="06641040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Transcripts not returned to participants.</w:t>
            </w:r>
          </w:p>
        </w:tc>
      </w:tr>
      <w:tr w:rsidR="007D03E4" w:rsidRPr="007D03E4" w14:paraId="5E63584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6281D0A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  <w:t>Analysis</w:t>
            </w:r>
          </w:p>
        </w:tc>
        <w:tc>
          <w:tcPr>
            <w:tcW w:w="0" w:type="auto"/>
            <w:vAlign w:val="center"/>
            <w:hideMark/>
          </w:tcPr>
          <w:p w14:paraId="1BEEB5AB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Number of coders</w:t>
            </w:r>
          </w:p>
        </w:tc>
        <w:tc>
          <w:tcPr>
            <w:tcW w:w="0" w:type="auto"/>
            <w:vAlign w:val="center"/>
            <w:hideMark/>
          </w:tcPr>
          <w:p w14:paraId="2FBC1AF8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Initial independent coding by ED and TR; full dataset coded by ED.</w:t>
            </w:r>
          </w:p>
        </w:tc>
      </w:tr>
      <w:tr w:rsidR="007D03E4" w:rsidRPr="007D03E4" w14:paraId="108D99B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43DD6B6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7362CBD2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Coding process</w:t>
            </w:r>
          </w:p>
        </w:tc>
        <w:tc>
          <w:tcPr>
            <w:tcW w:w="0" w:type="auto"/>
            <w:vAlign w:val="center"/>
            <w:hideMark/>
          </w:tcPr>
          <w:p w14:paraId="303230F9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Codes grouped into categories and refined into themes through iterative team discussion.</w:t>
            </w:r>
          </w:p>
        </w:tc>
      </w:tr>
      <w:tr w:rsidR="007D03E4" w:rsidRPr="007D03E4" w14:paraId="777D1FC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34E2851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086D7F6D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Theme derivation</w:t>
            </w:r>
          </w:p>
        </w:tc>
        <w:tc>
          <w:tcPr>
            <w:tcW w:w="0" w:type="auto"/>
            <w:vAlign w:val="center"/>
            <w:hideMark/>
          </w:tcPr>
          <w:p w14:paraId="6BBE1D76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Themes derived inductively from the data.</w:t>
            </w:r>
          </w:p>
        </w:tc>
      </w:tr>
      <w:tr w:rsidR="007D03E4" w:rsidRPr="007D03E4" w14:paraId="586079E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6398631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7DDB861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Software</w:t>
            </w:r>
          </w:p>
        </w:tc>
        <w:tc>
          <w:tcPr>
            <w:tcW w:w="0" w:type="auto"/>
            <w:vAlign w:val="center"/>
            <w:hideMark/>
          </w:tcPr>
          <w:p w14:paraId="4FF72C04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Manual qualitative analysis; no software used.</w:t>
            </w:r>
          </w:p>
        </w:tc>
      </w:tr>
      <w:tr w:rsidR="007D03E4" w:rsidRPr="007D03E4" w14:paraId="57EDCE5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8328F8F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16BA0A3D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Member checking</w:t>
            </w:r>
          </w:p>
        </w:tc>
        <w:tc>
          <w:tcPr>
            <w:tcW w:w="0" w:type="auto"/>
            <w:vAlign w:val="center"/>
            <w:hideMark/>
          </w:tcPr>
          <w:p w14:paraId="7A277CDB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Not undertaken; credibility addressed through reflexivity, team analysis, and rich data excerpts.</w:t>
            </w:r>
          </w:p>
        </w:tc>
      </w:tr>
      <w:tr w:rsidR="007D03E4" w:rsidRPr="007D03E4" w14:paraId="2D7ED21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9112E3A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b/>
                <w:bCs/>
                <w:kern w:val="0"/>
                <w:lang w:eastAsia="en-GB"/>
                <w14:ligatures w14:val="none"/>
              </w:rPr>
              <w:t>Reporting</w:t>
            </w:r>
          </w:p>
        </w:tc>
        <w:tc>
          <w:tcPr>
            <w:tcW w:w="0" w:type="auto"/>
            <w:vAlign w:val="center"/>
            <w:hideMark/>
          </w:tcPr>
          <w:p w14:paraId="03274C61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Quotations</w:t>
            </w:r>
          </w:p>
        </w:tc>
        <w:tc>
          <w:tcPr>
            <w:tcW w:w="0" w:type="auto"/>
            <w:vAlign w:val="center"/>
            <w:hideMark/>
          </w:tcPr>
          <w:p w14:paraId="15A9C888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Verbatim quotations presented with participant identifiers.</w:t>
            </w:r>
          </w:p>
        </w:tc>
      </w:tr>
      <w:tr w:rsidR="007D03E4" w:rsidRPr="007D03E4" w14:paraId="486094C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54E8E2D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61B13BAC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Data–finding alignment</w:t>
            </w:r>
          </w:p>
        </w:tc>
        <w:tc>
          <w:tcPr>
            <w:tcW w:w="0" w:type="auto"/>
            <w:vAlign w:val="center"/>
            <w:hideMark/>
          </w:tcPr>
          <w:p w14:paraId="674B21E7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Clear alignment between data excerpts and analytic claims.</w:t>
            </w:r>
          </w:p>
        </w:tc>
      </w:tr>
      <w:tr w:rsidR="007D03E4" w:rsidRPr="007D03E4" w14:paraId="3D94E9A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C3770ED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35F41282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Themes</w:t>
            </w:r>
          </w:p>
        </w:tc>
        <w:tc>
          <w:tcPr>
            <w:tcW w:w="0" w:type="auto"/>
            <w:vAlign w:val="center"/>
            <w:hideMark/>
          </w:tcPr>
          <w:p w14:paraId="6F76D9F8" w14:textId="77777777" w:rsidR="007D03E4" w:rsidRPr="007D03E4" w:rsidRDefault="007D03E4" w:rsidP="007D03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  <w:r w:rsidRPr="007D03E4"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  <w:t>Major themes and sub-themes clearly presented and supported by data.</w:t>
            </w:r>
          </w:p>
        </w:tc>
      </w:tr>
    </w:tbl>
    <w:p w14:paraId="2FF6031A" w14:textId="77777777" w:rsidR="00E53D55" w:rsidRDefault="00E53D55"/>
    <w:sectPr w:rsidR="00E53D5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3E4"/>
    <w:rsid w:val="00416E8C"/>
    <w:rsid w:val="006213E0"/>
    <w:rsid w:val="007D03E4"/>
    <w:rsid w:val="008B6342"/>
    <w:rsid w:val="008C6466"/>
    <w:rsid w:val="00DF6A77"/>
    <w:rsid w:val="00E33F8B"/>
    <w:rsid w:val="00E53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0C3789C"/>
  <w15:chartTrackingRefBased/>
  <w15:docId w15:val="{E59E6E75-7B50-904B-B2ED-40F0949BF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D03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D03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D03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D03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D03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D03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D03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D03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D03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03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D03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D03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D03E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D03E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D03E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D03E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D03E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D03E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D03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D03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D03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D03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D03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D03E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D03E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D03E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D03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D03E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D03E4"/>
    <w:rPr>
      <w:b/>
      <w:bCs/>
      <w:smallCaps/>
      <w:color w:val="0F4761" w:themeColor="accent1" w:themeShade="BF"/>
      <w:spacing w:val="5"/>
    </w:rPr>
  </w:style>
  <w:style w:type="character" w:styleId="Strong">
    <w:name w:val="Strong"/>
    <w:basedOn w:val="DefaultParagraphFont"/>
    <w:uiPriority w:val="22"/>
    <w:qFormat/>
    <w:rsid w:val="007D03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422</Words>
  <Characters>2408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Daitz</dc:creator>
  <cp:keywords/>
  <dc:description/>
  <cp:lastModifiedBy>Mrs. HJ Lotter</cp:lastModifiedBy>
  <cp:revision>2</cp:revision>
  <dcterms:created xsi:type="dcterms:W3CDTF">2026-04-10T07:11:00Z</dcterms:created>
  <dcterms:modified xsi:type="dcterms:W3CDTF">2026-04-10T07:11:00Z</dcterms:modified>
</cp:coreProperties>
</file>