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odttf" ContentType="application/vnd.openxmlformats-officedocument.obfuscatedFon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4C67BC3" w14:textId="77777777" w:rsidR="0061647F" w:rsidRPr="004874B3" w:rsidRDefault="006D77AA">
      <w:pPr>
        <w:spacing w:line="360" w:lineRule="auto"/>
        <w:jc w:val="center"/>
        <w:rPr>
          <w:rFonts w:ascii="Times New Roman" w:eastAsia="Times New Roman" w:hAnsi="Times New Roman" w:cs="Times New Roman"/>
          <w:b/>
          <w:bCs/>
          <w:sz w:val="24"/>
          <w:szCs w:val="24"/>
          <w:highlight w:val="white"/>
        </w:rPr>
      </w:pPr>
      <w:r w:rsidRPr="004874B3">
        <w:rPr>
          <w:rFonts w:ascii="Times New Roman" w:eastAsia="Times New Roman" w:hAnsi="Times New Roman" w:cs="Times New Roman"/>
          <w:b/>
          <w:bCs/>
          <w:sz w:val="24"/>
          <w:szCs w:val="24"/>
          <w:highlight w:val="white"/>
        </w:rPr>
        <w:t>Supplemental text and figures</w:t>
      </w:r>
    </w:p>
    <w:p w14:paraId="3D86CA12" w14:textId="77777777" w:rsidR="0061647F" w:rsidRPr="004874B3" w:rsidRDefault="0061647F">
      <w:pPr>
        <w:spacing w:line="360" w:lineRule="auto"/>
        <w:jc w:val="both"/>
        <w:rPr>
          <w:rFonts w:ascii="Times New Roman" w:eastAsia="Times New Roman" w:hAnsi="Times New Roman" w:cs="Times New Roman"/>
          <w:b/>
          <w:bCs/>
          <w:sz w:val="24"/>
          <w:szCs w:val="24"/>
          <w:highlight w:val="white"/>
        </w:rPr>
      </w:pPr>
    </w:p>
    <w:p w14:paraId="7702F365" w14:textId="77777777" w:rsidR="0061647F" w:rsidRPr="004874B3" w:rsidRDefault="006D77AA">
      <w:pPr>
        <w:spacing w:line="360" w:lineRule="auto"/>
        <w:jc w:val="both"/>
        <w:rPr>
          <w:rFonts w:ascii="Times New Roman" w:eastAsia="Times New Roman" w:hAnsi="Times New Roman" w:cs="Times New Roman"/>
          <w:i/>
          <w:iCs/>
          <w:sz w:val="24"/>
          <w:szCs w:val="24"/>
        </w:rPr>
      </w:pPr>
      <w:r w:rsidRPr="004874B3">
        <w:rPr>
          <w:rFonts w:ascii="Times New Roman" w:eastAsia="Times New Roman" w:hAnsi="Times New Roman" w:cs="Times New Roman"/>
          <w:b/>
          <w:bCs/>
          <w:sz w:val="24"/>
          <w:szCs w:val="24"/>
        </w:rPr>
        <w:t>Biofiltration, seasonality, and distribution system factors influence nitrifier communities in a full-scale chloraminated drinking water system</w:t>
      </w:r>
    </w:p>
    <w:p w14:paraId="4740683F" w14:textId="77777777" w:rsidR="0061647F" w:rsidRPr="004874B3" w:rsidRDefault="0061647F">
      <w:pPr>
        <w:spacing w:line="360" w:lineRule="auto"/>
        <w:jc w:val="both"/>
        <w:rPr>
          <w:rFonts w:ascii="Times New Roman" w:eastAsia="Times New Roman" w:hAnsi="Times New Roman" w:cs="Times New Roman"/>
          <w:b/>
          <w:bCs/>
          <w:color w:val="222222"/>
          <w:sz w:val="24"/>
          <w:szCs w:val="24"/>
          <w:highlight w:val="white"/>
        </w:rPr>
      </w:pPr>
    </w:p>
    <w:p w14:paraId="0CEC0AC9" w14:textId="77777777" w:rsidR="0061647F" w:rsidRPr="004874B3" w:rsidRDefault="006D77AA">
      <w:pPr>
        <w:spacing w:line="360" w:lineRule="auto"/>
        <w:jc w:val="both"/>
        <w:rPr>
          <w:rFonts w:ascii="Times New Roman" w:eastAsia="Times New Roman" w:hAnsi="Times New Roman" w:cs="Times New Roman"/>
          <w:i/>
          <w:iCs/>
          <w:color w:val="0563C2"/>
          <w:sz w:val="24"/>
          <w:szCs w:val="24"/>
        </w:rPr>
      </w:pPr>
      <w:r w:rsidRPr="004874B3">
        <w:rPr>
          <w:rFonts w:ascii="Times New Roman" w:eastAsia="Times New Roman" w:hAnsi="Times New Roman" w:cs="Times New Roman"/>
          <w:sz w:val="24"/>
          <w:szCs w:val="24"/>
        </w:rPr>
        <w:t>Sarah Potgieter</w:t>
      </w:r>
      <w:r w:rsidRPr="004874B3">
        <w:rPr>
          <w:rFonts w:ascii="Times New Roman" w:eastAsia="Times New Roman" w:hAnsi="Times New Roman" w:cs="Times New Roman"/>
          <w:sz w:val="24"/>
          <w:szCs w:val="24"/>
          <w:vertAlign w:val="superscript"/>
        </w:rPr>
        <w:t>1</w:t>
      </w:r>
      <w:r w:rsidRPr="004874B3">
        <w:rPr>
          <w:rFonts w:ascii="Times New Roman" w:eastAsia="Times New Roman" w:hAnsi="Times New Roman" w:cs="Times New Roman"/>
          <w:sz w:val="24"/>
          <w:szCs w:val="24"/>
        </w:rPr>
        <w:t xml:space="preserve">, </w:t>
      </w:r>
      <w:proofErr w:type="spellStart"/>
      <w:r w:rsidRPr="004874B3">
        <w:rPr>
          <w:rFonts w:ascii="Times New Roman" w:eastAsia="Times New Roman" w:hAnsi="Times New Roman" w:cs="Times New Roman"/>
          <w:sz w:val="24"/>
          <w:szCs w:val="24"/>
        </w:rPr>
        <w:t>Solize</w:t>
      </w:r>
      <w:proofErr w:type="spellEnd"/>
      <w:r w:rsidRPr="004874B3">
        <w:rPr>
          <w:rFonts w:ascii="Times New Roman" w:eastAsia="Times New Roman" w:hAnsi="Times New Roman" w:cs="Times New Roman"/>
          <w:sz w:val="24"/>
          <w:szCs w:val="24"/>
        </w:rPr>
        <w:t xml:space="preserve"> Oosthuizen-Vosloo</w:t>
      </w:r>
      <w:r w:rsidRPr="004874B3">
        <w:rPr>
          <w:rFonts w:ascii="Times New Roman" w:eastAsia="Times New Roman" w:hAnsi="Times New Roman" w:cs="Times New Roman"/>
          <w:sz w:val="24"/>
          <w:szCs w:val="24"/>
          <w:vertAlign w:val="superscript"/>
        </w:rPr>
        <w:t>2</w:t>
      </w:r>
      <w:r w:rsidRPr="004874B3">
        <w:rPr>
          <w:rFonts w:ascii="Times New Roman" w:eastAsia="Times New Roman" w:hAnsi="Times New Roman" w:cs="Times New Roman"/>
          <w:sz w:val="24"/>
          <w:szCs w:val="24"/>
        </w:rPr>
        <w:t>, Kathryn Langenfeld</w:t>
      </w:r>
      <w:r w:rsidRPr="004874B3">
        <w:rPr>
          <w:rFonts w:ascii="Times New Roman" w:eastAsia="Times New Roman" w:hAnsi="Times New Roman" w:cs="Times New Roman"/>
          <w:sz w:val="24"/>
          <w:szCs w:val="24"/>
          <w:vertAlign w:val="superscript"/>
        </w:rPr>
        <w:t>3</w:t>
      </w:r>
      <w:r w:rsidRPr="004874B3">
        <w:rPr>
          <w:rFonts w:ascii="Times New Roman" w:eastAsia="Times New Roman" w:hAnsi="Times New Roman" w:cs="Times New Roman"/>
          <w:sz w:val="24"/>
          <w:szCs w:val="24"/>
        </w:rPr>
        <w:t>, Katherine S. Dowdell</w:t>
      </w:r>
      <w:r w:rsidRPr="004874B3">
        <w:rPr>
          <w:rFonts w:ascii="Times New Roman" w:eastAsia="Times New Roman" w:hAnsi="Times New Roman" w:cs="Times New Roman"/>
          <w:sz w:val="24"/>
          <w:szCs w:val="24"/>
          <w:vertAlign w:val="superscript"/>
        </w:rPr>
        <w:t>1,4</w:t>
      </w:r>
      <w:r w:rsidRPr="004874B3">
        <w:rPr>
          <w:rFonts w:ascii="Times New Roman" w:eastAsia="Times New Roman" w:hAnsi="Times New Roman" w:cs="Times New Roman"/>
          <w:sz w:val="24"/>
          <w:szCs w:val="24"/>
        </w:rPr>
        <w:t>, Matthew Vedrin</w:t>
      </w:r>
      <w:r w:rsidRPr="004874B3">
        <w:rPr>
          <w:rFonts w:ascii="Times New Roman" w:eastAsia="Times New Roman" w:hAnsi="Times New Roman" w:cs="Times New Roman"/>
          <w:sz w:val="24"/>
          <w:szCs w:val="24"/>
          <w:vertAlign w:val="superscript"/>
        </w:rPr>
        <w:t>1,5</w:t>
      </w:r>
      <w:r w:rsidRPr="004874B3">
        <w:rPr>
          <w:rFonts w:ascii="Times New Roman" w:eastAsia="Times New Roman" w:hAnsi="Times New Roman" w:cs="Times New Roman"/>
          <w:sz w:val="24"/>
          <w:szCs w:val="24"/>
        </w:rPr>
        <w:t>, Rebecca Lahr</w:t>
      </w:r>
      <w:r w:rsidRPr="004874B3">
        <w:rPr>
          <w:rFonts w:ascii="Times New Roman" w:eastAsia="Times New Roman" w:hAnsi="Times New Roman" w:cs="Times New Roman"/>
          <w:sz w:val="24"/>
          <w:szCs w:val="24"/>
          <w:vertAlign w:val="superscript"/>
        </w:rPr>
        <w:t>6</w:t>
      </w:r>
      <w:r w:rsidRPr="004874B3">
        <w:rPr>
          <w:rFonts w:ascii="Times New Roman" w:eastAsia="Times New Roman" w:hAnsi="Times New Roman" w:cs="Times New Roman"/>
          <w:sz w:val="24"/>
          <w:szCs w:val="24"/>
        </w:rPr>
        <w:t>, Ameet J. Pinto</w:t>
      </w:r>
      <w:r w:rsidRPr="004874B3">
        <w:rPr>
          <w:rFonts w:ascii="Times New Roman" w:eastAsia="Times New Roman" w:hAnsi="Times New Roman" w:cs="Times New Roman"/>
          <w:sz w:val="24"/>
          <w:szCs w:val="24"/>
          <w:vertAlign w:val="superscript"/>
        </w:rPr>
        <w:t>7</w:t>
      </w:r>
      <w:r w:rsidRPr="004874B3">
        <w:rPr>
          <w:rFonts w:ascii="Times New Roman" w:eastAsia="Times New Roman" w:hAnsi="Times New Roman" w:cs="Times New Roman"/>
          <w:sz w:val="24"/>
          <w:szCs w:val="24"/>
        </w:rPr>
        <w:t xml:space="preserve"> &amp; Lutgarde Raskin</w:t>
      </w:r>
      <w:r w:rsidRPr="004874B3">
        <w:rPr>
          <w:rFonts w:ascii="Times New Roman" w:eastAsia="Times New Roman" w:hAnsi="Times New Roman" w:cs="Times New Roman"/>
          <w:sz w:val="24"/>
          <w:szCs w:val="24"/>
          <w:vertAlign w:val="superscript"/>
        </w:rPr>
        <w:t>1*</w:t>
      </w:r>
      <w:r w:rsidRPr="004874B3">
        <w:rPr>
          <w:rFonts w:ascii="Times New Roman" w:eastAsia="Times New Roman" w:hAnsi="Times New Roman" w:cs="Times New Roman"/>
          <w:color w:val="0563C2"/>
          <w:sz w:val="24"/>
          <w:szCs w:val="24"/>
          <w:vertAlign w:val="superscript"/>
        </w:rPr>
        <w:t xml:space="preserve"> </w:t>
      </w:r>
    </w:p>
    <w:p w14:paraId="566688F3" w14:textId="77777777" w:rsidR="0061647F" w:rsidRPr="004874B3" w:rsidRDefault="0061647F">
      <w:pPr>
        <w:spacing w:line="360" w:lineRule="auto"/>
        <w:jc w:val="both"/>
        <w:rPr>
          <w:rFonts w:ascii="Times New Roman" w:eastAsia="Times New Roman" w:hAnsi="Times New Roman" w:cs="Times New Roman"/>
          <w:i/>
          <w:iCs/>
          <w:sz w:val="24"/>
          <w:szCs w:val="24"/>
        </w:rPr>
      </w:pPr>
    </w:p>
    <w:p w14:paraId="36A0BA81" w14:textId="77777777" w:rsidR="0061647F" w:rsidRPr="004874B3" w:rsidRDefault="006D77AA">
      <w:pPr>
        <w:spacing w:line="360" w:lineRule="auto"/>
        <w:jc w:val="both"/>
        <w:rPr>
          <w:rFonts w:ascii="Times New Roman" w:eastAsia="Times New Roman" w:hAnsi="Times New Roman" w:cs="Times New Roman"/>
          <w:i/>
          <w:iCs/>
          <w:sz w:val="24"/>
          <w:szCs w:val="24"/>
        </w:rPr>
      </w:pPr>
      <w:r w:rsidRPr="004874B3">
        <w:rPr>
          <w:rFonts w:ascii="Times New Roman" w:eastAsia="Times New Roman" w:hAnsi="Times New Roman" w:cs="Times New Roman"/>
          <w:i/>
          <w:iCs/>
          <w:sz w:val="24"/>
          <w:szCs w:val="24"/>
          <w:vertAlign w:val="superscript"/>
        </w:rPr>
        <w:t>1</w:t>
      </w:r>
      <w:r w:rsidRPr="004874B3">
        <w:rPr>
          <w:rFonts w:ascii="Times New Roman" w:eastAsia="Times New Roman" w:hAnsi="Times New Roman" w:cs="Times New Roman"/>
          <w:i/>
          <w:iCs/>
          <w:sz w:val="24"/>
          <w:szCs w:val="24"/>
        </w:rPr>
        <w:t>Department of Civil and Environmental Engineering, University of Michigan, Ann Arbor, Michigan, USA</w:t>
      </w:r>
    </w:p>
    <w:p w14:paraId="4F1FB3BD" w14:textId="77777777" w:rsidR="0061647F" w:rsidRPr="004874B3" w:rsidRDefault="006D77AA">
      <w:pPr>
        <w:spacing w:line="360" w:lineRule="auto"/>
        <w:jc w:val="both"/>
        <w:rPr>
          <w:rFonts w:ascii="Times New Roman" w:eastAsia="Times New Roman" w:hAnsi="Times New Roman" w:cs="Times New Roman"/>
          <w:i/>
          <w:iCs/>
          <w:sz w:val="24"/>
          <w:szCs w:val="24"/>
        </w:rPr>
      </w:pPr>
      <w:r w:rsidRPr="004874B3">
        <w:rPr>
          <w:rFonts w:ascii="Times New Roman" w:eastAsia="Times New Roman" w:hAnsi="Times New Roman" w:cs="Times New Roman"/>
          <w:i/>
          <w:iCs/>
          <w:sz w:val="24"/>
          <w:szCs w:val="24"/>
          <w:vertAlign w:val="superscript"/>
        </w:rPr>
        <w:t>2</w:t>
      </w:r>
      <w:r w:rsidRPr="004874B3">
        <w:rPr>
          <w:rFonts w:ascii="Times New Roman" w:eastAsia="Times New Roman" w:hAnsi="Times New Roman" w:cs="Times New Roman"/>
          <w:i/>
          <w:iCs/>
          <w:sz w:val="24"/>
          <w:szCs w:val="24"/>
        </w:rPr>
        <w:t>Institute for Cellular and Molecular Medicine, Department of Immunology, Faculty of Health Sciences, University of Pretoria, Pretoria, Gauteng, South Africa</w:t>
      </w:r>
    </w:p>
    <w:p w14:paraId="0E3F4170" w14:textId="77777777" w:rsidR="0061647F" w:rsidRPr="004874B3" w:rsidRDefault="006D77AA">
      <w:pPr>
        <w:spacing w:line="360" w:lineRule="auto"/>
        <w:jc w:val="both"/>
        <w:rPr>
          <w:rFonts w:ascii="Times New Roman" w:eastAsia="Times New Roman" w:hAnsi="Times New Roman" w:cs="Times New Roman"/>
          <w:i/>
          <w:iCs/>
          <w:sz w:val="24"/>
          <w:szCs w:val="24"/>
        </w:rPr>
      </w:pPr>
      <w:r w:rsidRPr="004874B3">
        <w:rPr>
          <w:rFonts w:ascii="Times New Roman" w:eastAsia="Times New Roman" w:hAnsi="Times New Roman" w:cs="Times New Roman"/>
          <w:i/>
          <w:iCs/>
          <w:sz w:val="24"/>
          <w:szCs w:val="24"/>
          <w:vertAlign w:val="superscript"/>
        </w:rPr>
        <w:t>3</w:t>
      </w:r>
      <w:r w:rsidRPr="004874B3">
        <w:rPr>
          <w:rFonts w:ascii="Times New Roman" w:eastAsia="Times New Roman" w:hAnsi="Times New Roman" w:cs="Times New Roman"/>
          <w:i/>
          <w:iCs/>
          <w:sz w:val="24"/>
          <w:szCs w:val="24"/>
        </w:rPr>
        <w:t>Ecology and Evolutionary Biology Department, University of Michigan, Ann Arbor, Michigan, USA</w:t>
      </w:r>
    </w:p>
    <w:p w14:paraId="2BBE2F1E" w14:textId="77777777" w:rsidR="0061647F" w:rsidRPr="004874B3" w:rsidRDefault="006D77AA">
      <w:pPr>
        <w:spacing w:line="360" w:lineRule="auto"/>
        <w:jc w:val="both"/>
        <w:rPr>
          <w:rFonts w:ascii="Times New Roman" w:eastAsia="Times New Roman" w:hAnsi="Times New Roman" w:cs="Times New Roman"/>
          <w:i/>
          <w:iCs/>
          <w:sz w:val="24"/>
          <w:szCs w:val="24"/>
        </w:rPr>
      </w:pPr>
      <w:r w:rsidRPr="004874B3">
        <w:rPr>
          <w:rFonts w:ascii="Times New Roman" w:eastAsia="Times New Roman" w:hAnsi="Times New Roman" w:cs="Times New Roman"/>
          <w:i/>
          <w:iCs/>
          <w:sz w:val="24"/>
          <w:szCs w:val="24"/>
          <w:vertAlign w:val="superscript"/>
        </w:rPr>
        <w:t>4</w:t>
      </w:r>
      <w:r w:rsidRPr="004874B3">
        <w:rPr>
          <w:rFonts w:ascii="Times New Roman" w:eastAsia="Times New Roman" w:hAnsi="Times New Roman" w:cs="Times New Roman"/>
          <w:i/>
          <w:iCs/>
          <w:sz w:val="24"/>
          <w:szCs w:val="24"/>
        </w:rPr>
        <w:t>Department of Civil and Environmental Engineering, University of Utah, Salt Lake City, Utah, USA</w:t>
      </w:r>
    </w:p>
    <w:p w14:paraId="3A226C0A" w14:textId="77777777" w:rsidR="0061647F" w:rsidRPr="004874B3" w:rsidRDefault="006D77AA">
      <w:pPr>
        <w:spacing w:line="360" w:lineRule="auto"/>
        <w:jc w:val="both"/>
        <w:rPr>
          <w:rFonts w:ascii="Times New Roman" w:eastAsia="Times New Roman" w:hAnsi="Times New Roman" w:cs="Times New Roman"/>
          <w:i/>
          <w:iCs/>
          <w:sz w:val="24"/>
          <w:szCs w:val="24"/>
        </w:rPr>
      </w:pPr>
      <w:r w:rsidRPr="004874B3">
        <w:rPr>
          <w:rFonts w:ascii="Times New Roman" w:eastAsia="Times New Roman" w:hAnsi="Times New Roman" w:cs="Times New Roman"/>
          <w:i/>
          <w:iCs/>
          <w:sz w:val="24"/>
          <w:szCs w:val="24"/>
          <w:vertAlign w:val="superscript"/>
        </w:rPr>
        <w:t>5</w:t>
      </w:r>
      <w:r w:rsidRPr="004874B3">
        <w:rPr>
          <w:rFonts w:ascii="Times New Roman" w:eastAsia="Times New Roman" w:hAnsi="Times New Roman" w:cs="Times New Roman"/>
          <w:i/>
          <w:iCs/>
          <w:sz w:val="24"/>
          <w:szCs w:val="24"/>
        </w:rPr>
        <w:t>Department of Civil, Architectural, and Environmental Engineering, The University of Texas at Austin, Austin, TX, USA</w:t>
      </w:r>
    </w:p>
    <w:p w14:paraId="559782D0" w14:textId="77777777" w:rsidR="0061647F" w:rsidRPr="004874B3" w:rsidRDefault="006D77AA">
      <w:pPr>
        <w:spacing w:line="360" w:lineRule="auto"/>
        <w:jc w:val="both"/>
        <w:rPr>
          <w:rFonts w:ascii="Times New Roman" w:eastAsia="Times New Roman" w:hAnsi="Times New Roman" w:cs="Times New Roman"/>
          <w:i/>
          <w:iCs/>
          <w:sz w:val="24"/>
          <w:szCs w:val="24"/>
        </w:rPr>
      </w:pPr>
      <w:r w:rsidRPr="004874B3">
        <w:rPr>
          <w:rFonts w:ascii="Times New Roman" w:eastAsia="Times New Roman" w:hAnsi="Times New Roman" w:cs="Times New Roman"/>
          <w:i/>
          <w:iCs/>
          <w:sz w:val="24"/>
          <w:szCs w:val="24"/>
          <w:vertAlign w:val="superscript"/>
        </w:rPr>
        <w:t>6</w:t>
      </w:r>
      <w:r w:rsidRPr="004874B3">
        <w:rPr>
          <w:rFonts w:ascii="Times New Roman" w:eastAsia="Times New Roman" w:hAnsi="Times New Roman" w:cs="Times New Roman"/>
          <w:i/>
          <w:iCs/>
          <w:sz w:val="24"/>
          <w:szCs w:val="24"/>
        </w:rPr>
        <w:t>Water Treatment Services, City of Ann Arbor, Ann Arbor, Michigan, USA</w:t>
      </w:r>
    </w:p>
    <w:p w14:paraId="308254D5" w14:textId="77777777" w:rsidR="0061647F" w:rsidRPr="004874B3" w:rsidRDefault="006D77AA">
      <w:pPr>
        <w:spacing w:line="360" w:lineRule="auto"/>
        <w:jc w:val="both"/>
        <w:rPr>
          <w:rFonts w:ascii="Times New Roman" w:eastAsia="Times New Roman" w:hAnsi="Times New Roman" w:cs="Times New Roman"/>
          <w:i/>
          <w:iCs/>
          <w:sz w:val="24"/>
          <w:szCs w:val="24"/>
        </w:rPr>
      </w:pPr>
      <w:r w:rsidRPr="004874B3">
        <w:rPr>
          <w:rFonts w:ascii="Times New Roman" w:eastAsia="Times New Roman" w:hAnsi="Times New Roman" w:cs="Times New Roman"/>
          <w:i/>
          <w:iCs/>
          <w:sz w:val="24"/>
          <w:szCs w:val="24"/>
          <w:vertAlign w:val="superscript"/>
        </w:rPr>
        <w:t>7</w:t>
      </w:r>
      <w:r w:rsidRPr="004874B3">
        <w:rPr>
          <w:rFonts w:ascii="Times New Roman" w:eastAsia="Times New Roman" w:hAnsi="Times New Roman" w:cs="Times New Roman"/>
          <w:i/>
          <w:iCs/>
          <w:sz w:val="24"/>
          <w:szCs w:val="24"/>
        </w:rPr>
        <w:t>Department of Civil and Environmental Engineering, Georgia Institute of Technology, Atlanta, Georgia, USA</w:t>
      </w:r>
    </w:p>
    <w:p w14:paraId="12FD3F1B" w14:textId="77777777" w:rsidR="0061647F" w:rsidRPr="004874B3" w:rsidRDefault="0061647F">
      <w:pPr>
        <w:spacing w:line="360" w:lineRule="auto"/>
        <w:jc w:val="both"/>
        <w:rPr>
          <w:rFonts w:ascii="Times New Roman" w:eastAsia="Times New Roman" w:hAnsi="Times New Roman" w:cs="Times New Roman"/>
          <w:i/>
          <w:iCs/>
          <w:sz w:val="24"/>
          <w:szCs w:val="24"/>
        </w:rPr>
      </w:pPr>
    </w:p>
    <w:p w14:paraId="186AAC7A" w14:textId="77777777" w:rsidR="0061647F" w:rsidRPr="004874B3" w:rsidRDefault="006D77AA">
      <w:pPr>
        <w:spacing w:line="360" w:lineRule="auto"/>
        <w:jc w:val="both"/>
        <w:rPr>
          <w:rFonts w:ascii="Times New Roman" w:eastAsia="Times New Roman" w:hAnsi="Times New Roman" w:cs="Times New Roman"/>
          <w:sz w:val="24"/>
          <w:szCs w:val="24"/>
        </w:rPr>
      </w:pPr>
      <w:r w:rsidRPr="004874B3">
        <w:rPr>
          <w:rFonts w:ascii="Times New Roman" w:eastAsia="Times New Roman" w:hAnsi="Times New Roman" w:cs="Times New Roman"/>
          <w:sz w:val="24"/>
          <w:szCs w:val="24"/>
          <w:vertAlign w:val="superscript"/>
        </w:rPr>
        <w:t xml:space="preserve">* </w:t>
      </w:r>
      <w:r w:rsidRPr="004874B3">
        <w:rPr>
          <w:rFonts w:ascii="Times New Roman" w:eastAsia="Times New Roman" w:hAnsi="Times New Roman" w:cs="Times New Roman"/>
          <w:sz w:val="24"/>
          <w:szCs w:val="24"/>
        </w:rPr>
        <w:t>Corresponding author: Lutgarde Raskin</w:t>
      </w:r>
    </w:p>
    <w:p w14:paraId="4F678A9A" w14:textId="77777777" w:rsidR="0061647F" w:rsidRPr="004874B3" w:rsidRDefault="006D77AA">
      <w:pPr>
        <w:spacing w:line="360" w:lineRule="auto"/>
        <w:jc w:val="both"/>
        <w:rPr>
          <w:rFonts w:ascii="Times New Roman" w:eastAsia="Times New Roman" w:hAnsi="Times New Roman" w:cs="Times New Roman"/>
          <w:sz w:val="24"/>
          <w:szCs w:val="24"/>
        </w:rPr>
      </w:pPr>
      <w:r w:rsidRPr="004874B3">
        <w:rPr>
          <w:rFonts w:ascii="Times New Roman" w:eastAsia="Times New Roman" w:hAnsi="Times New Roman" w:cs="Times New Roman"/>
          <w:i/>
          <w:iCs/>
          <w:sz w:val="24"/>
          <w:szCs w:val="24"/>
        </w:rPr>
        <w:t>Email address</w:t>
      </w:r>
      <w:r w:rsidRPr="004874B3">
        <w:rPr>
          <w:rFonts w:ascii="Times New Roman" w:eastAsia="Times New Roman" w:hAnsi="Times New Roman" w:cs="Times New Roman"/>
          <w:sz w:val="24"/>
          <w:szCs w:val="24"/>
        </w:rPr>
        <w:t>: raskin@umich.edu</w:t>
      </w:r>
    </w:p>
    <w:p w14:paraId="523D1E52" w14:textId="77777777" w:rsidR="0061647F" w:rsidRPr="004874B3" w:rsidRDefault="0061647F">
      <w:pPr>
        <w:spacing w:line="360" w:lineRule="auto"/>
        <w:jc w:val="both"/>
        <w:rPr>
          <w:rFonts w:ascii="Times New Roman" w:eastAsia="Times New Roman" w:hAnsi="Times New Roman" w:cs="Times New Roman"/>
          <w:sz w:val="24"/>
          <w:szCs w:val="24"/>
        </w:rPr>
      </w:pPr>
    </w:p>
    <w:p w14:paraId="0DC10A9B" w14:textId="77777777" w:rsidR="0061647F" w:rsidRPr="004874B3" w:rsidRDefault="0061647F">
      <w:pPr>
        <w:spacing w:line="360" w:lineRule="auto"/>
        <w:jc w:val="both"/>
        <w:rPr>
          <w:rFonts w:ascii="Times New Roman" w:eastAsia="Times New Roman" w:hAnsi="Times New Roman" w:cs="Times New Roman"/>
          <w:sz w:val="24"/>
          <w:szCs w:val="24"/>
        </w:rPr>
      </w:pPr>
    </w:p>
    <w:p w14:paraId="41C0957B" w14:textId="77777777" w:rsidR="0061647F" w:rsidRPr="004874B3" w:rsidRDefault="0061647F">
      <w:pPr>
        <w:spacing w:line="360" w:lineRule="auto"/>
        <w:jc w:val="both"/>
        <w:rPr>
          <w:rFonts w:ascii="Times New Roman" w:eastAsia="Times New Roman" w:hAnsi="Times New Roman" w:cs="Times New Roman"/>
          <w:sz w:val="24"/>
          <w:szCs w:val="24"/>
        </w:rPr>
      </w:pPr>
    </w:p>
    <w:p w14:paraId="143359DE" w14:textId="77777777" w:rsidR="0061647F" w:rsidRPr="004874B3" w:rsidRDefault="0061647F">
      <w:pPr>
        <w:spacing w:line="360" w:lineRule="auto"/>
        <w:jc w:val="both"/>
        <w:rPr>
          <w:rFonts w:ascii="Times New Roman" w:eastAsia="Times New Roman" w:hAnsi="Times New Roman" w:cs="Times New Roman"/>
          <w:sz w:val="24"/>
          <w:szCs w:val="24"/>
        </w:rPr>
      </w:pPr>
    </w:p>
    <w:p w14:paraId="110B4662" w14:textId="77777777" w:rsidR="0061647F" w:rsidRPr="004874B3" w:rsidRDefault="0061647F">
      <w:pPr>
        <w:spacing w:line="360" w:lineRule="auto"/>
        <w:jc w:val="both"/>
        <w:rPr>
          <w:rFonts w:ascii="Times New Roman" w:eastAsia="Times New Roman" w:hAnsi="Times New Roman" w:cs="Times New Roman"/>
          <w:sz w:val="24"/>
          <w:szCs w:val="24"/>
        </w:rPr>
      </w:pPr>
    </w:p>
    <w:p w14:paraId="7897E1EF" w14:textId="77777777" w:rsidR="0061647F" w:rsidRPr="004874B3" w:rsidRDefault="0061647F">
      <w:pPr>
        <w:spacing w:line="360" w:lineRule="auto"/>
        <w:jc w:val="both"/>
        <w:rPr>
          <w:rFonts w:ascii="Times New Roman" w:eastAsia="Times New Roman" w:hAnsi="Times New Roman" w:cs="Times New Roman"/>
          <w:sz w:val="24"/>
          <w:szCs w:val="24"/>
        </w:rPr>
      </w:pPr>
    </w:p>
    <w:p w14:paraId="75C380D6" w14:textId="77777777" w:rsidR="0061647F" w:rsidRPr="004874B3" w:rsidRDefault="0061647F">
      <w:pPr>
        <w:spacing w:line="360" w:lineRule="auto"/>
        <w:jc w:val="both"/>
        <w:rPr>
          <w:rFonts w:ascii="Times New Roman" w:eastAsia="Times New Roman" w:hAnsi="Times New Roman" w:cs="Times New Roman"/>
          <w:sz w:val="24"/>
          <w:szCs w:val="24"/>
        </w:rPr>
      </w:pPr>
    </w:p>
    <w:p w14:paraId="778B9FCF" w14:textId="77777777" w:rsidR="0061647F" w:rsidRPr="004874B3" w:rsidRDefault="006D77AA">
      <w:pPr>
        <w:pStyle w:val="Heading1"/>
        <w:rPr>
          <w:sz w:val="24"/>
          <w:szCs w:val="24"/>
        </w:rPr>
      </w:pPr>
      <w:bookmarkStart w:id="0" w:name="_heading=h.vp5jbbt5wwos" w:colFirst="0" w:colLast="0"/>
      <w:bookmarkEnd w:id="0"/>
      <w:r w:rsidRPr="004874B3">
        <w:rPr>
          <w:sz w:val="24"/>
          <w:szCs w:val="24"/>
        </w:rPr>
        <w:lastRenderedPageBreak/>
        <w:t>Supplemental text</w:t>
      </w:r>
    </w:p>
    <w:p w14:paraId="427EBCB7" w14:textId="77777777" w:rsidR="0061647F" w:rsidRPr="004874B3" w:rsidRDefault="0061647F">
      <w:pPr>
        <w:pStyle w:val="Heading2"/>
        <w:spacing w:after="0" w:line="360" w:lineRule="auto"/>
        <w:rPr>
          <w:sz w:val="24"/>
          <w:szCs w:val="24"/>
        </w:rPr>
      </w:pPr>
      <w:bookmarkStart w:id="1" w:name="_heading=h.r6c2ppvv25p7" w:colFirst="0" w:colLast="0"/>
      <w:bookmarkEnd w:id="1"/>
    </w:p>
    <w:p w14:paraId="131A7D58" w14:textId="77777777" w:rsidR="0061647F" w:rsidRPr="004874B3" w:rsidRDefault="006D77AA">
      <w:pPr>
        <w:pStyle w:val="Heading2"/>
        <w:spacing w:after="0" w:line="360" w:lineRule="auto"/>
        <w:rPr>
          <w:sz w:val="24"/>
          <w:szCs w:val="24"/>
        </w:rPr>
      </w:pPr>
      <w:bookmarkStart w:id="2" w:name="_heading=h.c8mgxkozm4fj" w:colFirst="0" w:colLast="0"/>
      <w:bookmarkEnd w:id="2"/>
      <w:r w:rsidRPr="004874B3">
        <w:rPr>
          <w:sz w:val="24"/>
          <w:szCs w:val="24"/>
        </w:rPr>
        <w:t>Text S1: Droplet digital PCR conditions</w:t>
      </w:r>
    </w:p>
    <w:p w14:paraId="7A4749AB" w14:textId="77777777" w:rsidR="0061647F" w:rsidRPr="004874B3" w:rsidRDefault="006D77AA">
      <w:pPr>
        <w:spacing w:line="360" w:lineRule="auto"/>
        <w:jc w:val="both"/>
        <w:rPr>
          <w:rFonts w:ascii="Times New Roman" w:eastAsia="Times New Roman" w:hAnsi="Times New Roman" w:cs="Times New Roman"/>
          <w:sz w:val="24"/>
          <w:szCs w:val="24"/>
        </w:rPr>
      </w:pPr>
      <w:r w:rsidRPr="004874B3">
        <w:rPr>
          <w:rFonts w:ascii="Times New Roman" w:eastAsia="Times New Roman" w:hAnsi="Times New Roman" w:cs="Times New Roman"/>
          <w:b/>
          <w:bCs/>
          <w:sz w:val="24"/>
          <w:szCs w:val="24"/>
        </w:rPr>
        <w:t>Probe-based assays:</w:t>
      </w:r>
      <w:r w:rsidRPr="004874B3">
        <w:rPr>
          <w:rFonts w:ascii="Times New Roman" w:eastAsia="Times New Roman" w:hAnsi="Times New Roman" w:cs="Times New Roman"/>
          <w:sz w:val="24"/>
          <w:szCs w:val="24"/>
        </w:rPr>
        <w:t xml:space="preserve"> Reaction mixtures (25 µl) consisted of 12.5 µl 1X </w:t>
      </w:r>
      <w:proofErr w:type="spellStart"/>
      <w:r w:rsidRPr="004874B3">
        <w:rPr>
          <w:rFonts w:ascii="Times New Roman" w:eastAsia="Times New Roman" w:hAnsi="Times New Roman" w:cs="Times New Roman"/>
          <w:sz w:val="24"/>
          <w:szCs w:val="24"/>
        </w:rPr>
        <w:t>ddPCR</w:t>
      </w:r>
      <w:proofErr w:type="spellEnd"/>
      <w:r w:rsidRPr="004874B3">
        <w:rPr>
          <w:rFonts w:ascii="Times New Roman" w:eastAsia="Times New Roman" w:hAnsi="Times New Roman" w:cs="Times New Roman"/>
          <w:sz w:val="24"/>
          <w:szCs w:val="24"/>
        </w:rPr>
        <w:t xml:space="preserve">™ </w:t>
      </w:r>
      <w:proofErr w:type="spellStart"/>
      <w:r w:rsidRPr="004874B3">
        <w:rPr>
          <w:rFonts w:ascii="Times New Roman" w:eastAsia="Times New Roman" w:hAnsi="Times New Roman" w:cs="Times New Roman"/>
          <w:sz w:val="24"/>
          <w:szCs w:val="24"/>
        </w:rPr>
        <w:t>Supermix</w:t>
      </w:r>
      <w:proofErr w:type="spellEnd"/>
      <w:r w:rsidRPr="004874B3">
        <w:rPr>
          <w:rFonts w:ascii="Times New Roman" w:eastAsia="Times New Roman" w:hAnsi="Times New Roman" w:cs="Times New Roman"/>
          <w:sz w:val="24"/>
          <w:szCs w:val="24"/>
        </w:rPr>
        <w:t xml:space="preserve"> for Probes (No </w:t>
      </w:r>
      <w:proofErr w:type="spellStart"/>
      <w:r w:rsidRPr="004874B3">
        <w:rPr>
          <w:rFonts w:ascii="Times New Roman" w:eastAsia="Times New Roman" w:hAnsi="Times New Roman" w:cs="Times New Roman"/>
          <w:sz w:val="24"/>
          <w:szCs w:val="24"/>
        </w:rPr>
        <w:t>dUTP</w:t>
      </w:r>
      <w:proofErr w:type="spellEnd"/>
      <w:r w:rsidRPr="004874B3">
        <w:rPr>
          <w:rFonts w:ascii="Times New Roman" w:eastAsia="Times New Roman" w:hAnsi="Times New Roman" w:cs="Times New Roman"/>
          <w:sz w:val="24"/>
          <w:szCs w:val="24"/>
        </w:rPr>
        <w:t xml:space="preserve">) (Bio-Rad), 900 </w:t>
      </w:r>
      <w:proofErr w:type="spellStart"/>
      <w:r w:rsidRPr="004874B3">
        <w:rPr>
          <w:rFonts w:ascii="Times New Roman" w:eastAsia="Times New Roman" w:hAnsi="Times New Roman" w:cs="Times New Roman"/>
          <w:sz w:val="24"/>
          <w:szCs w:val="24"/>
        </w:rPr>
        <w:t>nM</w:t>
      </w:r>
      <w:proofErr w:type="spellEnd"/>
      <w:r w:rsidRPr="004874B3">
        <w:rPr>
          <w:rFonts w:ascii="Times New Roman" w:eastAsia="Times New Roman" w:hAnsi="Times New Roman" w:cs="Times New Roman"/>
          <w:sz w:val="24"/>
          <w:szCs w:val="24"/>
        </w:rPr>
        <w:t xml:space="preserve"> forward and reverse primers, and 450 </w:t>
      </w:r>
      <w:proofErr w:type="spellStart"/>
      <w:r w:rsidRPr="004874B3">
        <w:rPr>
          <w:rFonts w:ascii="Times New Roman" w:eastAsia="Times New Roman" w:hAnsi="Times New Roman" w:cs="Times New Roman"/>
          <w:sz w:val="24"/>
          <w:szCs w:val="24"/>
        </w:rPr>
        <w:t>nM</w:t>
      </w:r>
      <w:proofErr w:type="spellEnd"/>
      <w:r w:rsidRPr="004874B3">
        <w:rPr>
          <w:rFonts w:ascii="Times New Roman" w:eastAsia="Times New Roman" w:hAnsi="Times New Roman" w:cs="Times New Roman"/>
          <w:sz w:val="24"/>
          <w:szCs w:val="24"/>
        </w:rPr>
        <w:t xml:space="preserve"> probes, and 1 and 10 ng of DNA template for </w:t>
      </w:r>
      <w:r w:rsidRPr="004874B3">
        <w:rPr>
          <w:rFonts w:ascii="Times New Roman" w:eastAsia="Times New Roman" w:hAnsi="Times New Roman" w:cs="Times New Roman"/>
          <w:i/>
          <w:iCs/>
          <w:sz w:val="24"/>
          <w:szCs w:val="24"/>
        </w:rPr>
        <w:t>amoA</w:t>
      </w:r>
      <w:r w:rsidRPr="004874B3">
        <w:rPr>
          <w:rFonts w:ascii="Times New Roman" w:eastAsia="Times New Roman" w:hAnsi="Times New Roman" w:cs="Times New Roman"/>
          <w:sz w:val="24"/>
          <w:szCs w:val="24"/>
        </w:rPr>
        <w:t xml:space="preserve"> and </w:t>
      </w:r>
      <w:r w:rsidRPr="004874B3">
        <w:rPr>
          <w:rFonts w:ascii="Times New Roman" w:eastAsia="Times New Roman" w:hAnsi="Times New Roman" w:cs="Times New Roman"/>
          <w:i/>
          <w:iCs/>
          <w:sz w:val="24"/>
          <w:szCs w:val="24"/>
        </w:rPr>
        <w:t>Nitrospira</w:t>
      </w:r>
      <w:r w:rsidRPr="004874B3">
        <w:rPr>
          <w:rFonts w:ascii="Times New Roman" w:eastAsia="Times New Roman" w:hAnsi="Times New Roman" w:cs="Times New Roman"/>
          <w:sz w:val="24"/>
          <w:szCs w:val="24"/>
        </w:rPr>
        <w:t xml:space="preserve"> 16S rRNA gene assays, respectively (Table S3). The remaining volume was adjusted with </w:t>
      </w:r>
      <w:proofErr w:type="spellStart"/>
      <w:r w:rsidRPr="004874B3">
        <w:rPr>
          <w:rFonts w:ascii="Times New Roman" w:eastAsia="Times New Roman" w:hAnsi="Times New Roman" w:cs="Times New Roman"/>
          <w:sz w:val="24"/>
          <w:szCs w:val="24"/>
        </w:rPr>
        <w:t>UltraPure</w:t>
      </w:r>
      <w:proofErr w:type="spellEnd"/>
      <w:r w:rsidRPr="004874B3">
        <w:rPr>
          <w:rFonts w:ascii="Times New Roman" w:eastAsia="Times New Roman" w:hAnsi="Times New Roman" w:cs="Times New Roman"/>
          <w:sz w:val="24"/>
          <w:szCs w:val="24"/>
        </w:rPr>
        <w:t xml:space="preserve">™ DNase/RNase-Free Distilled Water (Invitrogen™). Cycle conditions included initial denaturation at 95 ˚C for 10 min followed by 50 cycles of denaturation at 95 ˚C for 30 s, annealing and elongation at 56 ˚C and 61 ˚C for </w:t>
      </w:r>
      <w:r w:rsidRPr="004874B3">
        <w:rPr>
          <w:rFonts w:ascii="Times New Roman" w:eastAsia="Times New Roman" w:hAnsi="Times New Roman" w:cs="Times New Roman"/>
          <w:i/>
          <w:iCs/>
          <w:sz w:val="24"/>
          <w:szCs w:val="24"/>
        </w:rPr>
        <w:t>amoA</w:t>
      </w:r>
      <w:r w:rsidRPr="004874B3">
        <w:rPr>
          <w:rFonts w:ascii="Times New Roman" w:eastAsia="Times New Roman" w:hAnsi="Times New Roman" w:cs="Times New Roman"/>
          <w:sz w:val="24"/>
          <w:szCs w:val="24"/>
        </w:rPr>
        <w:t xml:space="preserve"> and </w:t>
      </w:r>
      <w:r w:rsidRPr="004874B3">
        <w:rPr>
          <w:rFonts w:ascii="Times New Roman" w:eastAsia="Times New Roman" w:hAnsi="Times New Roman" w:cs="Times New Roman"/>
          <w:i/>
          <w:iCs/>
          <w:sz w:val="24"/>
          <w:szCs w:val="24"/>
        </w:rPr>
        <w:t>Nitrospira</w:t>
      </w:r>
      <w:r w:rsidRPr="004874B3">
        <w:rPr>
          <w:rFonts w:ascii="Times New Roman" w:eastAsia="Times New Roman" w:hAnsi="Times New Roman" w:cs="Times New Roman"/>
          <w:sz w:val="24"/>
          <w:szCs w:val="24"/>
        </w:rPr>
        <w:t xml:space="preserve"> 16S rRNA assays, respectively, for 1 min, final annealing at 4 ˚C for 5 min, and final denaturation at 95 ˚C for 5 min. Ramp rate was set to 1 ˚C/s. </w:t>
      </w:r>
    </w:p>
    <w:p w14:paraId="1BE227E0" w14:textId="77777777" w:rsidR="0061647F" w:rsidRPr="004874B3" w:rsidRDefault="006D77AA">
      <w:pPr>
        <w:spacing w:after="200" w:line="360" w:lineRule="auto"/>
        <w:jc w:val="both"/>
        <w:rPr>
          <w:rFonts w:ascii="Times New Roman" w:eastAsia="Times New Roman" w:hAnsi="Times New Roman" w:cs="Times New Roman"/>
          <w:sz w:val="24"/>
          <w:szCs w:val="24"/>
        </w:rPr>
      </w:pPr>
      <w:proofErr w:type="spellStart"/>
      <w:r w:rsidRPr="004874B3">
        <w:rPr>
          <w:rFonts w:ascii="Times New Roman" w:eastAsia="Times New Roman" w:hAnsi="Times New Roman" w:cs="Times New Roman"/>
          <w:b/>
          <w:bCs/>
          <w:sz w:val="24"/>
          <w:szCs w:val="24"/>
        </w:rPr>
        <w:t>Evagreen</w:t>
      </w:r>
      <w:proofErr w:type="spellEnd"/>
      <w:r w:rsidRPr="004874B3">
        <w:rPr>
          <w:rFonts w:ascii="Times New Roman" w:eastAsia="Times New Roman" w:hAnsi="Times New Roman" w:cs="Times New Roman"/>
          <w:b/>
          <w:bCs/>
          <w:sz w:val="24"/>
          <w:szCs w:val="24"/>
        </w:rPr>
        <w:t>-based assays:</w:t>
      </w:r>
      <w:r w:rsidRPr="004874B3">
        <w:rPr>
          <w:rFonts w:ascii="Times New Roman" w:eastAsia="Times New Roman" w:hAnsi="Times New Roman" w:cs="Times New Roman"/>
          <w:sz w:val="24"/>
          <w:szCs w:val="24"/>
        </w:rPr>
        <w:t xml:space="preserve"> Reaction mixtures (25 µl) consisted of 12.5 µl 1X QX200 </w:t>
      </w:r>
      <w:proofErr w:type="spellStart"/>
      <w:r w:rsidRPr="004874B3">
        <w:rPr>
          <w:rFonts w:ascii="Times New Roman" w:eastAsia="Times New Roman" w:hAnsi="Times New Roman" w:cs="Times New Roman"/>
          <w:sz w:val="24"/>
          <w:szCs w:val="24"/>
        </w:rPr>
        <w:t>ddPCR</w:t>
      </w:r>
      <w:proofErr w:type="spellEnd"/>
      <w:r w:rsidRPr="004874B3">
        <w:rPr>
          <w:rFonts w:ascii="Times New Roman" w:eastAsia="Times New Roman" w:hAnsi="Times New Roman" w:cs="Times New Roman"/>
          <w:sz w:val="24"/>
          <w:szCs w:val="24"/>
        </w:rPr>
        <w:t xml:space="preserve">™ </w:t>
      </w:r>
      <w:proofErr w:type="spellStart"/>
      <w:r w:rsidRPr="004874B3">
        <w:rPr>
          <w:rFonts w:ascii="Times New Roman" w:eastAsia="Times New Roman" w:hAnsi="Times New Roman" w:cs="Times New Roman"/>
          <w:sz w:val="24"/>
          <w:szCs w:val="24"/>
        </w:rPr>
        <w:t>EvaGreen</w:t>
      </w:r>
      <w:proofErr w:type="spellEnd"/>
      <w:r w:rsidRPr="004874B3">
        <w:rPr>
          <w:rFonts w:ascii="Times New Roman" w:eastAsia="Times New Roman" w:hAnsi="Times New Roman" w:cs="Times New Roman"/>
          <w:sz w:val="24"/>
          <w:szCs w:val="24"/>
        </w:rPr>
        <w:t xml:space="preserve"> </w:t>
      </w:r>
      <w:proofErr w:type="spellStart"/>
      <w:r w:rsidRPr="004874B3">
        <w:rPr>
          <w:rFonts w:ascii="Times New Roman" w:eastAsia="Times New Roman" w:hAnsi="Times New Roman" w:cs="Times New Roman"/>
          <w:sz w:val="24"/>
          <w:szCs w:val="24"/>
        </w:rPr>
        <w:t>Supermix</w:t>
      </w:r>
      <w:proofErr w:type="spellEnd"/>
      <w:r w:rsidRPr="004874B3">
        <w:rPr>
          <w:rFonts w:ascii="Times New Roman" w:eastAsia="Times New Roman" w:hAnsi="Times New Roman" w:cs="Times New Roman"/>
          <w:sz w:val="24"/>
          <w:szCs w:val="24"/>
        </w:rPr>
        <w:t xml:space="preserve"> (Bio-Rad), 100 and 200 </w:t>
      </w:r>
      <w:proofErr w:type="spellStart"/>
      <w:r w:rsidRPr="004874B3">
        <w:rPr>
          <w:rFonts w:ascii="Times New Roman" w:eastAsia="Times New Roman" w:hAnsi="Times New Roman" w:cs="Times New Roman"/>
          <w:sz w:val="24"/>
          <w:szCs w:val="24"/>
        </w:rPr>
        <w:t>nM</w:t>
      </w:r>
      <w:proofErr w:type="spellEnd"/>
      <w:r w:rsidRPr="004874B3">
        <w:rPr>
          <w:rFonts w:ascii="Times New Roman" w:eastAsia="Times New Roman" w:hAnsi="Times New Roman" w:cs="Times New Roman"/>
          <w:sz w:val="24"/>
          <w:szCs w:val="24"/>
        </w:rPr>
        <w:t xml:space="preserve"> of forward and reverse primers for AOB 16S rRNA and comammox </w:t>
      </w:r>
      <w:r w:rsidRPr="004874B3">
        <w:rPr>
          <w:rFonts w:ascii="Times New Roman" w:eastAsia="Times New Roman" w:hAnsi="Times New Roman" w:cs="Times New Roman"/>
          <w:i/>
          <w:iCs/>
          <w:sz w:val="24"/>
          <w:szCs w:val="24"/>
        </w:rPr>
        <w:t>amoB</w:t>
      </w:r>
      <w:r w:rsidRPr="004874B3">
        <w:rPr>
          <w:rFonts w:ascii="Times New Roman" w:eastAsia="Times New Roman" w:hAnsi="Times New Roman" w:cs="Times New Roman"/>
          <w:sz w:val="24"/>
          <w:szCs w:val="24"/>
        </w:rPr>
        <w:t xml:space="preserve"> gene assays, respectively, and 1 and 10 ng of DNA template for AOB 16S rRNA and comammox </w:t>
      </w:r>
      <w:r w:rsidRPr="004874B3">
        <w:rPr>
          <w:rFonts w:ascii="Times New Roman" w:eastAsia="Times New Roman" w:hAnsi="Times New Roman" w:cs="Times New Roman"/>
          <w:i/>
          <w:iCs/>
          <w:sz w:val="24"/>
          <w:szCs w:val="24"/>
        </w:rPr>
        <w:t>amoB</w:t>
      </w:r>
      <w:r w:rsidRPr="004874B3">
        <w:rPr>
          <w:rFonts w:ascii="Times New Roman" w:eastAsia="Times New Roman" w:hAnsi="Times New Roman" w:cs="Times New Roman"/>
          <w:sz w:val="24"/>
          <w:szCs w:val="24"/>
        </w:rPr>
        <w:t xml:space="preserve"> gene assays, respectively (Table S3). The remaining volume was adjusted with </w:t>
      </w:r>
      <w:proofErr w:type="spellStart"/>
      <w:r w:rsidRPr="004874B3">
        <w:rPr>
          <w:rFonts w:ascii="Times New Roman" w:eastAsia="Times New Roman" w:hAnsi="Times New Roman" w:cs="Times New Roman"/>
          <w:sz w:val="24"/>
          <w:szCs w:val="24"/>
        </w:rPr>
        <w:t>UltraPure</w:t>
      </w:r>
      <w:proofErr w:type="spellEnd"/>
      <w:r w:rsidRPr="004874B3">
        <w:rPr>
          <w:rFonts w:ascii="Times New Roman" w:eastAsia="Times New Roman" w:hAnsi="Times New Roman" w:cs="Times New Roman"/>
          <w:sz w:val="24"/>
          <w:szCs w:val="24"/>
        </w:rPr>
        <w:t xml:space="preserve">™ DNase/RNase-Free Distilled Water (Invitrogen™). Cycle conditions included initial denaturation at 95 ˚C for 10 min followed by 50 cycles of denaturation at 95 ˚C for 30 s, annealing and elongation at 52.5 ˚C and 58 ˚C for comammox </w:t>
      </w:r>
      <w:r w:rsidRPr="004874B3">
        <w:rPr>
          <w:rFonts w:ascii="Times New Roman" w:eastAsia="Times New Roman" w:hAnsi="Times New Roman" w:cs="Times New Roman"/>
          <w:i/>
          <w:iCs/>
          <w:sz w:val="24"/>
          <w:szCs w:val="24"/>
        </w:rPr>
        <w:t xml:space="preserve">amoB </w:t>
      </w:r>
      <w:r w:rsidRPr="004874B3">
        <w:rPr>
          <w:rFonts w:ascii="Times New Roman" w:eastAsia="Times New Roman" w:hAnsi="Times New Roman" w:cs="Times New Roman"/>
          <w:sz w:val="24"/>
          <w:szCs w:val="24"/>
        </w:rPr>
        <w:t xml:space="preserve">and Betaproteobacterial AOB 16S rRNA assays, respectively, for 1 min 30 s, final annealing at 4 ˚C for 5 min, and final denaturation at 95 ˚C for 5 min. Ramp rate was set to 1 ˚C/s. </w:t>
      </w:r>
    </w:p>
    <w:p w14:paraId="4E206E80" w14:textId="77777777" w:rsidR="0061647F" w:rsidRPr="004874B3" w:rsidRDefault="006D77AA">
      <w:pPr>
        <w:spacing w:after="200" w:line="360" w:lineRule="auto"/>
        <w:jc w:val="both"/>
        <w:rPr>
          <w:rFonts w:ascii="Times New Roman" w:eastAsia="Times New Roman" w:hAnsi="Times New Roman" w:cs="Times New Roman"/>
          <w:sz w:val="24"/>
          <w:szCs w:val="24"/>
        </w:rPr>
      </w:pPr>
      <w:r w:rsidRPr="004874B3">
        <w:rPr>
          <w:rFonts w:ascii="Times New Roman" w:eastAsia="Times New Roman" w:hAnsi="Times New Roman" w:cs="Times New Roman"/>
          <w:sz w:val="24"/>
          <w:szCs w:val="24"/>
        </w:rPr>
        <w:t xml:space="preserve">With each </w:t>
      </w:r>
      <w:proofErr w:type="spellStart"/>
      <w:r w:rsidRPr="004874B3">
        <w:rPr>
          <w:rFonts w:ascii="Times New Roman" w:eastAsia="Times New Roman" w:hAnsi="Times New Roman" w:cs="Times New Roman"/>
          <w:sz w:val="24"/>
          <w:szCs w:val="24"/>
        </w:rPr>
        <w:t>ddPCR</w:t>
      </w:r>
      <w:proofErr w:type="spellEnd"/>
      <w:r w:rsidRPr="004874B3">
        <w:rPr>
          <w:rFonts w:ascii="Times New Roman" w:eastAsia="Times New Roman" w:hAnsi="Times New Roman" w:cs="Times New Roman"/>
          <w:sz w:val="24"/>
          <w:szCs w:val="24"/>
        </w:rPr>
        <w:t xml:space="preserve"> run, positive </w:t>
      </w:r>
      <w:proofErr w:type="spellStart"/>
      <w:r w:rsidRPr="004874B3">
        <w:rPr>
          <w:rFonts w:ascii="Times New Roman" w:eastAsia="Times New Roman" w:hAnsi="Times New Roman" w:cs="Times New Roman"/>
          <w:sz w:val="24"/>
          <w:szCs w:val="24"/>
        </w:rPr>
        <w:t>gBlock</w:t>
      </w:r>
      <w:proofErr w:type="spellEnd"/>
      <w:r w:rsidRPr="004874B3">
        <w:rPr>
          <w:rFonts w:ascii="Times New Roman" w:eastAsia="Times New Roman" w:hAnsi="Times New Roman" w:cs="Times New Roman"/>
          <w:sz w:val="24"/>
          <w:szCs w:val="24"/>
        </w:rPr>
        <w:t xml:space="preserve"> controls and non-template negative controls were included. Droplets were generated using the QX200™ Automated Droplet-Generator (Bio-Rad) with 20 µl of reaction mixture and Droplet Generation Oil for probes or </w:t>
      </w:r>
      <w:proofErr w:type="spellStart"/>
      <w:r w:rsidRPr="004874B3">
        <w:rPr>
          <w:rFonts w:ascii="Times New Roman" w:eastAsia="Times New Roman" w:hAnsi="Times New Roman" w:cs="Times New Roman"/>
          <w:sz w:val="24"/>
          <w:szCs w:val="24"/>
        </w:rPr>
        <w:t>EvaGreen</w:t>
      </w:r>
      <w:proofErr w:type="spellEnd"/>
      <w:r w:rsidRPr="004874B3">
        <w:rPr>
          <w:rFonts w:ascii="Times New Roman" w:eastAsia="Times New Roman" w:hAnsi="Times New Roman" w:cs="Times New Roman"/>
          <w:sz w:val="24"/>
          <w:szCs w:val="24"/>
        </w:rPr>
        <w:t xml:space="preserve"> (Bio-Rad) in 96-well plates. Following droplet generation, the plate was sealed and PCR was performed using the C1000 </w:t>
      </w:r>
      <w:proofErr w:type="spellStart"/>
      <w:r w:rsidRPr="004874B3">
        <w:rPr>
          <w:rFonts w:ascii="Times New Roman" w:eastAsia="Times New Roman" w:hAnsi="Times New Roman" w:cs="Times New Roman"/>
          <w:sz w:val="24"/>
          <w:szCs w:val="24"/>
        </w:rPr>
        <w:t>Touch</w:t>
      </w:r>
      <w:r w:rsidRPr="004874B3">
        <w:rPr>
          <w:rFonts w:ascii="Times New Roman" w:eastAsia="Times New Roman" w:hAnsi="Times New Roman" w:cs="Times New Roman"/>
          <w:sz w:val="24"/>
          <w:szCs w:val="24"/>
          <w:vertAlign w:val="superscript"/>
        </w:rPr>
        <w:t>TM</w:t>
      </w:r>
      <w:proofErr w:type="spellEnd"/>
      <w:r w:rsidRPr="004874B3">
        <w:rPr>
          <w:rFonts w:ascii="Times New Roman" w:eastAsia="Times New Roman" w:hAnsi="Times New Roman" w:cs="Times New Roman"/>
          <w:sz w:val="24"/>
          <w:szCs w:val="24"/>
        </w:rPr>
        <w:t xml:space="preserve"> Thermal Cycler (Bio-Rad Laboratories, Inc., Hercules, CA). Upon completion of the PCR, plates were transferred to QX200™ Droplet Reader (Bio-Rad) for automated measurement of fluorescent signals of each droplet in each well. </w:t>
      </w:r>
    </w:p>
    <w:p w14:paraId="4D3C1232" w14:textId="77777777" w:rsidR="0061647F" w:rsidRPr="004874B3" w:rsidRDefault="006D77AA">
      <w:pPr>
        <w:spacing w:line="360" w:lineRule="auto"/>
        <w:jc w:val="both"/>
        <w:rPr>
          <w:rFonts w:ascii="Times New Roman" w:eastAsia="Times New Roman" w:hAnsi="Times New Roman" w:cs="Times New Roman"/>
          <w:sz w:val="24"/>
          <w:szCs w:val="24"/>
        </w:rPr>
      </w:pPr>
      <w:r w:rsidRPr="004874B3">
        <w:rPr>
          <w:rFonts w:ascii="Times New Roman" w:eastAsia="Times New Roman" w:hAnsi="Times New Roman" w:cs="Times New Roman"/>
          <w:sz w:val="24"/>
          <w:szCs w:val="24"/>
        </w:rPr>
        <w:t xml:space="preserve">For each ddPCR assay, a limit of blanks (LOB) was performed, i.e., running a background matched negative control sample across a large number of wells (~30) to determine the placement of the threshold. Based on the LOB, a single threshold was applied across all samples for each assay. </w:t>
      </w:r>
      <w:r w:rsidRPr="004874B3">
        <w:rPr>
          <w:rFonts w:ascii="Times New Roman" w:eastAsia="Times New Roman" w:hAnsi="Times New Roman" w:cs="Times New Roman"/>
          <w:sz w:val="24"/>
          <w:szCs w:val="24"/>
        </w:rPr>
        <w:lastRenderedPageBreak/>
        <w:t xml:space="preserve">The empirical limits of detection (LODs) for the four gene targets were determined based on replicate concentration measurements at the lowest dilution levels. The LOD was calculated as the mean concentration at the lowest dilution where detection occurred in at least 95% of replicates, plus three times the standard deviation of those replicates (LOD = mean + 3 × SD). For the </w:t>
      </w:r>
      <w:r w:rsidRPr="004874B3">
        <w:rPr>
          <w:rFonts w:ascii="Times New Roman" w:eastAsia="Times New Roman" w:hAnsi="Times New Roman" w:cs="Times New Roman"/>
          <w:i/>
          <w:iCs/>
          <w:sz w:val="24"/>
          <w:szCs w:val="24"/>
        </w:rPr>
        <w:t>amoA</w:t>
      </w:r>
      <w:r w:rsidRPr="004874B3">
        <w:rPr>
          <w:rFonts w:ascii="Times New Roman" w:eastAsia="Times New Roman" w:hAnsi="Times New Roman" w:cs="Times New Roman"/>
          <w:sz w:val="24"/>
          <w:szCs w:val="24"/>
        </w:rPr>
        <w:t xml:space="preserve"> gene, this calculation resulted in an empirical LOD of 1.24 copies per reaction. For the AOB 16S rRNA gene, the empirical LOD was higher, at 5.91 copies per reaction. For the </w:t>
      </w:r>
      <w:r w:rsidRPr="004874B3">
        <w:rPr>
          <w:rFonts w:ascii="Times New Roman" w:eastAsia="Times New Roman" w:hAnsi="Times New Roman" w:cs="Times New Roman"/>
          <w:i/>
          <w:iCs/>
          <w:sz w:val="24"/>
          <w:szCs w:val="24"/>
        </w:rPr>
        <w:t>Nitrospira</w:t>
      </w:r>
      <w:r w:rsidRPr="004874B3">
        <w:rPr>
          <w:rFonts w:ascii="Times New Roman" w:eastAsia="Times New Roman" w:hAnsi="Times New Roman" w:cs="Times New Roman"/>
          <w:sz w:val="24"/>
          <w:szCs w:val="24"/>
        </w:rPr>
        <w:t xml:space="preserve"> 16S rRNA gene, the empirical LOD was calculated as 1.79 copies per reaction. Lastly, for the comammox </w:t>
      </w:r>
      <w:r w:rsidRPr="004874B3">
        <w:rPr>
          <w:rFonts w:ascii="Times New Roman" w:eastAsia="Times New Roman" w:hAnsi="Times New Roman" w:cs="Times New Roman"/>
          <w:i/>
          <w:iCs/>
          <w:sz w:val="24"/>
          <w:szCs w:val="24"/>
        </w:rPr>
        <w:t xml:space="preserve">amoB </w:t>
      </w:r>
      <w:r w:rsidRPr="004874B3">
        <w:rPr>
          <w:rFonts w:ascii="Times New Roman" w:eastAsia="Times New Roman" w:hAnsi="Times New Roman" w:cs="Times New Roman"/>
          <w:sz w:val="24"/>
          <w:szCs w:val="24"/>
        </w:rPr>
        <w:t xml:space="preserve">gene, the LOD was determined to be 3.5 copies per reaction. The quality and performance of each assay were assessed and optimized based on the criteria described by Lievens </w:t>
      </w:r>
      <w:r w:rsidRPr="004874B3">
        <w:rPr>
          <w:rFonts w:ascii="Times New Roman" w:eastAsia="Times New Roman" w:hAnsi="Times New Roman" w:cs="Times New Roman"/>
          <w:i/>
          <w:iCs/>
          <w:sz w:val="24"/>
          <w:szCs w:val="24"/>
        </w:rPr>
        <w:t>et al</w:t>
      </w:r>
      <w:r w:rsidRPr="004874B3">
        <w:rPr>
          <w:rFonts w:ascii="Times New Roman" w:eastAsia="Times New Roman" w:hAnsi="Times New Roman" w:cs="Times New Roman"/>
          <w:sz w:val="24"/>
          <w:szCs w:val="24"/>
        </w:rPr>
        <w:t xml:space="preserve">. (2016). Optimization included adjustment of DNA template concentration (to account for potential inhibitor dilution), primer concentrations, annealing temperatures, elongation times, and the number of cycles. Additionally, to reduce rain and improve amplification, primers for </w:t>
      </w:r>
      <w:r w:rsidRPr="004874B3">
        <w:rPr>
          <w:rFonts w:ascii="Times New Roman" w:eastAsia="Times New Roman" w:hAnsi="Times New Roman" w:cs="Times New Roman"/>
          <w:i/>
          <w:iCs/>
          <w:sz w:val="24"/>
          <w:szCs w:val="24"/>
        </w:rPr>
        <w:t>Nitrospira</w:t>
      </w:r>
      <w:r w:rsidRPr="004874B3">
        <w:rPr>
          <w:rFonts w:ascii="Times New Roman" w:eastAsia="Times New Roman" w:hAnsi="Times New Roman" w:cs="Times New Roman"/>
          <w:sz w:val="24"/>
          <w:szCs w:val="24"/>
        </w:rPr>
        <w:t xml:space="preserve"> 16S rRNA and comammox </w:t>
      </w:r>
      <w:r w:rsidRPr="004874B3">
        <w:rPr>
          <w:rFonts w:ascii="Times New Roman" w:eastAsia="Times New Roman" w:hAnsi="Times New Roman" w:cs="Times New Roman"/>
          <w:i/>
          <w:iCs/>
          <w:sz w:val="24"/>
          <w:szCs w:val="24"/>
        </w:rPr>
        <w:t>amoB</w:t>
      </w:r>
      <w:r w:rsidRPr="004874B3">
        <w:rPr>
          <w:rFonts w:ascii="Times New Roman" w:eastAsia="Times New Roman" w:hAnsi="Times New Roman" w:cs="Times New Roman"/>
          <w:sz w:val="24"/>
          <w:szCs w:val="24"/>
        </w:rPr>
        <w:t xml:space="preserve"> genes were adjusted to reduce degeneracy to be more specific to the respective MAGs identified in the dataset. The forward primer for the </w:t>
      </w:r>
      <w:r w:rsidRPr="004874B3">
        <w:rPr>
          <w:rFonts w:ascii="Times New Roman" w:eastAsia="Times New Roman" w:hAnsi="Times New Roman" w:cs="Times New Roman"/>
          <w:i/>
          <w:iCs/>
          <w:sz w:val="24"/>
          <w:szCs w:val="24"/>
        </w:rPr>
        <w:t>Nitrospira</w:t>
      </w:r>
      <w:r w:rsidRPr="004874B3">
        <w:rPr>
          <w:rFonts w:ascii="Times New Roman" w:eastAsia="Times New Roman" w:hAnsi="Times New Roman" w:cs="Times New Roman"/>
          <w:sz w:val="24"/>
          <w:szCs w:val="24"/>
        </w:rPr>
        <w:t xml:space="preserve"> 16S rRNA gene was adjusted, from the 5’ end, by substituting the 17th nucleotide from K to a degenerate base G. Similarly, the reverse primer was modified by changing the 13th nucleotide from Y to a degenerate base A. Additionally, the forward primer for the comammox </w:t>
      </w:r>
      <w:r w:rsidRPr="004874B3">
        <w:rPr>
          <w:rFonts w:ascii="Times New Roman" w:eastAsia="Times New Roman" w:hAnsi="Times New Roman" w:cs="Times New Roman"/>
          <w:i/>
          <w:iCs/>
          <w:sz w:val="24"/>
          <w:szCs w:val="24"/>
        </w:rPr>
        <w:t>amoB</w:t>
      </w:r>
      <w:r w:rsidRPr="004874B3">
        <w:rPr>
          <w:rFonts w:ascii="Times New Roman" w:eastAsia="Times New Roman" w:hAnsi="Times New Roman" w:cs="Times New Roman"/>
          <w:sz w:val="24"/>
          <w:szCs w:val="24"/>
        </w:rPr>
        <w:t xml:space="preserve"> gene was modified at several positions from the 5′ end: (</w:t>
      </w:r>
      <w:proofErr w:type="spellStart"/>
      <w:r w:rsidRPr="004874B3">
        <w:rPr>
          <w:rFonts w:ascii="Times New Roman" w:eastAsia="Times New Roman" w:hAnsi="Times New Roman" w:cs="Times New Roman"/>
          <w:sz w:val="24"/>
          <w:szCs w:val="24"/>
        </w:rPr>
        <w:t>i</w:t>
      </w:r>
      <w:proofErr w:type="spellEnd"/>
      <w:r w:rsidRPr="004874B3">
        <w:rPr>
          <w:rFonts w:ascii="Times New Roman" w:eastAsia="Times New Roman" w:hAnsi="Times New Roman" w:cs="Times New Roman"/>
          <w:sz w:val="24"/>
          <w:szCs w:val="24"/>
        </w:rPr>
        <w:t>) the 6th nucleotide was changed from Y to T, (ii) the 9th from Y to C, (iii) the 12th from N to Y, and (iv) the 13th from S to G. The reverse primer was also modified, with the 3rd nucleotide (from the 5′ end) changed from N to Y. Primer sequences are detailed in Table S3.</w:t>
      </w:r>
    </w:p>
    <w:p w14:paraId="1492DF02" w14:textId="77777777" w:rsidR="0061647F" w:rsidRPr="004874B3" w:rsidRDefault="0061647F">
      <w:pPr>
        <w:spacing w:line="360" w:lineRule="auto"/>
        <w:jc w:val="both"/>
        <w:rPr>
          <w:rFonts w:ascii="Times New Roman" w:eastAsia="Times New Roman" w:hAnsi="Times New Roman" w:cs="Times New Roman"/>
          <w:sz w:val="24"/>
          <w:szCs w:val="24"/>
        </w:rPr>
      </w:pPr>
    </w:p>
    <w:p w14:paraId="61821735" w14:textId="77777777" w:rsidR="0061647F" w:rsidRPr="004874B3" w:rsidRDefault="006D77AA">
      <w:pPr>
        <w:pStyle w:val="Heading2"/>
        <w:spacing w:after="0" w:line="360" w:lineRule="auto"/>
        <w:rPr>
          <w:sz w:val="24"/>
          <w:szCs w:val="24"/>
        </w:rPr>
      </w:pPr>
      <w:bookmarkStart w:id="3" w:name="_heading=h.cauwy854rdnm" w:colFirst="0" w:colLast="0"/>
      <w:bookmarkEnd w:id="3"/>
      <w:r w:rsidRPr="004874B3">
        <w:rPr>
          <w:sz w:val="24"/>
          <w:szCs w:val="24"/>
        </w:rPr>
        <w:t xml:space="preserve">Text S2: Detailed metagenomic sequence processing, </w:t>
      </w:r>
      <w:r w:rsidRPr="004874B3">
        <w:rPr>
          <w:i/>
          <w:iCs/>
          <w:sz w:val="24"/>
          <w:szCs w:val="24"/>
        </w:rPr>
        <w:t xml:space="preserve">de novo </w:t>
      </w:r>
      <w:r w:rsidRPr="004874B3">
        <w:rPr>
          <w:sz w:val="24"/>
          <w:szCs w:val="24"/>
        </w:rPr>
        <w:t>co-assembly, and binning</w:t>
      </w:r>
    </w:p>
    <w:p w14:paraId="56C13108" w14:textId="77777777" w:rsidR="0061647F" w:rsidRPr="004874B3" w:rsidRDefault="006D77AA">
      <w:pPr>
        <w:spacing w:after="240" w:line="360" w:lineRule="auto"/>
        <w:jc w:val="both"/>
        <w:rPr>
          <w:rFonts w:ascii="Times New Roman" w:eastAsia="Times New Roman" w:hAnsi="Times New Roman" w:cs="Times New Roman"/>
          <w:sz w:val="24"/>
          <w:szCs w:val="24"/>
        </w:rPr>
      </w:pPr>
      <w:r w:rsidRPr="004874B3">
        <w:rPr>
          <w:rFonts w:ascii="Times New Roman" w:eastAsia="Times New Roman" w:hAnsi="Times New Roman" w:cs="Times New Roman"/>
          <w:sz w:val="24"/>
          <w:szCs w:val="24"/>
        </w:rPr>
        <w:t xml:space="preserve">Metagenomic sequence data were processed following a modified version of the approach described by Vosloo et al. (2021), optimized to recover high-quality metagenome-assembled genomes (MAGs) and maximize microbial diversity representation in drinking water samples (Fig. S1). Briefly, raw Illumina reads were quality-trimmed and filtered for adapter sequences using </w:t>
      </w:r>
      <w:proofErr w:type="spellStart"/>
      <w:r w:rsidRPr="004874B3">
        <w:rPr>
          <w:rFonts w:ascii="Times New Roman" w:eastAsia="Times New Roman" w:hAnsi="Times New Roman" w:cs="Times New Roman"/>
          <w:sz w:val="24"/>
          <w:szCs w:val="24"/>
        </w:rPr>
        <w:t>fastp</w:t>
      </w:r>
      <w:proofErr w:type="spellEnd"/>
      <w:r w:rsidRPr="004874B3">
        <w:rPr>
          <w:rFonts w:ascii="Times New Roman" w:eastAsia="Times New Roman" w:hAnsi="Times New Roman" w:cs="Times New Roman"/>
          <w:sz w:val="24"/>
          <w:szCs w:val="24"/>
        </w:rPr>
        <w:t xml:space="preserve"> v0.20.0 (Chen et al., 2018). Potential vector contamination was identified by aligning reads to the </w:t>
      </w:r>
      <w:proofErr w:type="spellStart"/>
      <w:r w:rsidRPr="004874B3">
        <w:rPr>
          <w:rFonts w:ascii="Times New Roman" w:eastAsia="Times New Roman" w:hAnsi="Times New Roman" w:cs="Times New Roman"/>
          <w:sz w:val="24"/>
          <w:szCs w:val="24"/>
        </w:rPr>
        <w:t>UniVec_Core</w:t>
      </w:r>
      <w:proofErr w:type="spellEnd"/>
      <w:r w:rsidRPr="004874B3">
        <w:rPr>
          <w:rFonts w:ascii="Times New Roman" w:eastAsia="Times New Roman" w:hAnsi="Times New Roman" w:cs="Times New Roman"/>
          <w:sz w:val="24"/>
          <w:szCs w:val="24"/>
        </w:rPr>
        <w:t xml:space="preserve"> database (NCBI) using BWA-MEM v0.7.</w:t>
      </w:r>
      <w:proofErr w:type="gramStart"/>
      <w:r w:rsidRPr="004874B3">
        <w:rPr>
          <w:rFonts w:ascii="Times New Roman" w:eastAsia="Times New Roman" w:hAnsi="Times New Roman" w:cs="Times New Roman"/>
          <w:sz w:val="24"/>
          <w:szCs w:val="24"/>
        </w:rPr>
        <w:t>17  (</w:t>
      </w:r>
      <w:proofErr w:type="gramEnd"/>
      <w:r w:rsidRPr="004874B3">
        <w:rPr>
          <w:rFonts w:ascii="Times New Roman" w:eastAsia="Times New Roman" w:hAnsi="Times New Roman" w:cs="Times New Roman"/>
          <w:sz w:val="24"/>
          <w:szCs w:val="24"/>
        </w:rPr>
        <w:t xml:space="preserve">Li, 2013), and matches were removed using samtools v1.9. Negative control samples underwent the same screening to eliminate background contaminants. Resulting BAM files were sorted (samtools sort), and paired-end </w:t>
      </w:r>
      <w:r w:rsidRPr="004874B3">
        <w:rPr>
          <w:rFonts w:ascii="Times New Roman" w:eastAsia="Times New Roman" w:hAnsi="Times New Roman" w:cs="Times New Roman"/>
          <w:sz w:val="24"/>
          <w:szCs w:val="24"/>
        </w:rPr>
        <w:lastRenderedPageBreak/>
        <w:t xml:space="preserve">FASTQ reads were recovered using </w:t>
      </w:r>
      <w:proofErr w:type="spellStart"/>
      <w:r w:rsidRPr="004874B3">
        <w:rPr>
          <w:rFonts w:ascii="Times New Roman" w:eastAsia="Times New Roman" w:hAnsi="Times New Roman" w:cs="Times New Roman"/>
          <w:sz w:val="24"/>
          <w:szCs w:val="24"/>
        </w:rPr>
        <w:t>bedtools</w:t>
      </w:r>
      <w:proofErr w:type="spellEnd"/>
      <w:r w:rsidRPr="004874B3">
        <w:rPr>
          <w:rFonts w:ascii="Times New Roman" w:eastAsia="Times New Roman" w:hAnsi="Times New Roman" w:cs="Times New Roman"/>
          <w:sz w:val="24"/>
          <w:szCs w:val="24"/>
        </w:rPr>
        <w:t xml:space="preserve"> </w:t>
      </w:r>
      <w:proofErr w:type="spellStart"/>
      <w:r w:rsidRPr="004874B3">
        <w:rPr>
          <w:rFonts w:ascii="Times New Roman" w:eastAsia="Times New Roman" w:hAnsi="Times New Roman" w:cs="Times New Roman"/>
          <w:sz w:val="24"/>
          <w:szCs w:val="24"/>
        </w:rPr>
        <w:t>bamtofastq</w:t>
      </w:r>
      <w:proofErr w:type="spellEnd"/>
      <w:r w:rsidRPr="004874B3">
        <w:rPr>
          <w:rFonts w:ascii="Times New Roman" w:eastAsia="Times New Roman" w:hAnsi="Times New Roman" w:cs="Times New Roman"/>
          <w:sz w:val="24"/>
          <w:szCs w:val="24"/>
        </w:rPr>
        <w:t xml:space="preserve"> v2.29.2. Read coverage and sequencing depth were assessed with Nonpareil v3.303 in </w:t>
      </w:r>
      <w:proofErr w:type="spellStart"/>
      <w:r w:rsidRPr="004874B3">
        <w:rPr>
          <w:rFonts w:ascii="Times New Roman" w:eastAsia="Times New Roman" w:hAnsi="Times New Roman" w:cs="Times New Roman"/>
          <w:sz w:val="24"/>
          <w:szCs w:val="24"/>
        </w:rPr>
        <w:t>kmer</w:t>
      </w:r>
      <w:proofErr w:type="spellEnd"/>
      <w:r w:rsidRPr="004874B3">
        <w:rPr>
          <w:rFonts w:ascii="Times New Roman" w:eastAsia="Times New Roman" w:hAnsi="Times New Roman" w:cs="Times New Roman"/>
          <w:sz w:val="24"/>
          <w:szCs w:val="24"/>
        </w:rPr>
        <w:t xml:space="preserve"> mode (Rodriguez et al., 2018), and Nonpareil curves were generated in R with </w:t>
      </w:r>
      <w:proofErr w:type="spellStart"/>
      <w:r w:rsidRPr="004874B3">
        <w:rPr>
          <w:rFonts w:ascii="Times New Roman" w:eastAsia="Times New Roman" w:hAnsi="Times New Roman" w:cs="Times New Roman"/>
          <w:sz w:val="24"/>
          <w:szCs w:val="24"/>
        </w:rPr>
        <w:t>Nonpareil.set</w:t>
      </w:r>
      <w:proofErr w:type="spellEnd"/>
      <w:r w:rsidRPr="004874B3">
        <w:rPr>
          <w:rFonts w:ascii="Times New Roman" w:eastAsia="Times New Roman" w:hAnsi="Times New Roman" w:cs="Times New Roman"/>
          <w:sz w:val="24"/>
          <w:szCs w:val="24"/>
        </w:rPr>
        <w:t xml:space="preserve"> (v3.3.4) (Fig. S2).</w:t>
      </w:r>
    </w:p>
    <w:p w14:paraId="4C82E582" w14:textId="77777777" w:rsidR="0061647F" w:rsidRPr="004874B3" w:rsidRDefault="006D77AA">
      <w:pPr>
        <w:spacing w:before="240" w:after="240" w:line="360" w:lineRule="auto"/>
        <w:jc w:val="both"/>
        <w:rPr>
          <w:rFonts w:ascii="Times New Roman" w:eastAsia="Times New Roman" w:hAnsi="Times New Roman" w:cs="Times New Roman"/>
          <w:sz w:val="24"/>
          <w:szCs w:val="24"/>
        </w:rPr>
      </w:pPr>
      <w:r w:rsidRPr="004874B3">
        <w:rPr>
          <w:rFonts w:ascii="Times New Roman" w:eastAsia="Times New Roman" w:hAnsi="Times New Roman" w:cs="Times New Roman"/>
          <w:sz w:val="24"/>
          <w:szCs w:val="24"/>
        </w:rPr>
        <w:t>To assess read-based similarity among samples, MASH v2.2.2 (</w:t>
      </w:r>
      <w:proofErr w:type="spellStart"/>
      <w:r w:rsidRPr="004874B3">
        <w:rPr>
          <w:rFonts w:ascii="Times New Roman" w:eastAsia="Times New Roman" w:hAnsi="Times New Roman" w:cs="Times New Roman"/>
          <w:sz w:val="24"/>
          <w:szCs w:val="24"/>
        </w:rPr>
        <w:t>Ondov</w:t>
      </w:r>
      <w:proofErr w:type="spellEnd"/>
      <w:r w:rsidRPr="004874B3">
        <w:rPr>
          <w:rFonts w:ascii="Times New Roman" w:eastAsia="Times New Roman" w:hAnsi="Times New Roman" w:cs="Times New Roman"/>
          <w:sz w:val="24"/>
          <w:szCs w:val="24"/>
        </w:rPr>
        <w:t xml:space="preserve"> et al., 2016) was used to estimate pairwise distances. Paired FASTQ files were first interleaved with </w:t>
      </w:r>
      <w:proofErr w:type="spellStart"/>
      <w:r w:rsidRPr="004874B3">
        <w:rPr>
          <w:rFonts w:ascii="Times New Roman" w:eastAsia="Times New Roman" w:hAnsi="Times New Roman" w:cs="Times New Roman"/>
          <w:sz w:val="24"/>
          <w:szCs w:val="24"/>
        </w:rPr>
        <w:t>interleafq</w:t>
      </w:r>
      <w:proofErr w:type="spellEnd"/>
      <w:r w:rsidRPr="004874B3">
        <w:rPr>
          <w:rFonts w:ascii="Times New Roman" w:eastAsia="Times New Roman" w:hAnsi="Times New Roman" w:cs="Times New Roman"/>
          <w:sz w:val="24"/>
          <w:szCs w:val="24"/>
        </w:rPr>
        <w:t xml:space="preserve"> v1.0 and sketched using the sketch function. Sample comparisons were performed with the </w:t>
      </w:r>
      <w:proofErr w:type="spellStart"/>
      <w:r w:rsidRPr="004874B3">
        <w:rPr>
          <w:rFonts w:ascii="Times New Roman" w:eastAsia="Times New Roman" w:hAnsi="Times New Roman" w:cs="Times New Roman"/>
          <w:sz w:val="24"/>
          <w:szCs w:val="24"/>
        </w:rPr>
        <w:t>dist</w:t>
      </w:r>
      <w:proofErr w:type="spellEnd"/>
      <w:r w:rsidRPr="004874B3">
        <w:rPr>
          <w:rFonts w:ascii="Times New Roman" w:eastAsia="Times New Roman" w:hAnsi="Times New Roman" w:cs="Times New Roman"/>
          <w:sz w:val="24"/>
          <w:szCs w:val="24"/>
        </w:rPr>
        <w:t xml:space="preserve"> function, based on Jaccard indices of shared k-</w:t>
      </w:r>
      <w:proofErr w:type="spellStart"/>
      <w:r w:rsidRPr="004874B3">
        <w:rPr>
          <w:rFonts w:ascii="Times New Roman" w:eastAsia="Times New Roman" w:hAnsi="Times New Roman" w:cs="Times New Roman"/>
          <w:sz w:val="24"/>
          <w:szCs w:val="24"/>
        </w:rPr>
        <w:t>mers</w:t>
      </w:r>
      <w:proofErr w:type="spellEnd"/>
      <w:r w:rsidRPr="004874B3">
        <w:rPr>
          <w:rFonts w:ascii="Times New Roman" w:eastAsia="Times New Roman" w:hAnsi="Times New Roman" w:cs="Times New Roman"/>
          <w:sz w:val="24"/>
          <w:szCs w:val="24"/>
        </w:rPr>
        <w:t xml:space="preserve">. Optimal sample clustering was determined via k-means analysis in R, using the </w:t>
      </w:r>
      <w:proofErr w:type="spellStart"/>
      <w:r w:rsidRPr="004874B3">
        <w:rPr>
          <w:rFonts w:ascii="Times New Roman" w:eastAsia="Times New Roman" w:hAnsi="Times New Roman" w:cs="Times New Roman"/>
          <w:sz w:val="24"/>
          <w:szCs w:val="24"/>
        </w:rPr>
        <w:t>factoextra</w:t>
      </w:r>
      <w:proofErr w:type="spellEnd"/>
      <w:r w:rsidRPr="004874B3">
        <w:rPr>
          <w:rFonts w:ascii="Times New Roman" w:eastAsia="Times New Roman" w:hAnsi="Times New Roman" w:cs="Times New Roman"/>
          <w:sz w:val="24"/>
          <w:szCs w:val="24"/>
        </w:rPr>
        <w:t xml:space="preserve"> package v1.0.7 to evaluate the number of groups by silhouette analysis with 999 Monte Carlo iterations. Clustering was executed with </w:t>
      </w:r>
      <w:proofErr w:type="spellStart"/>
      <w:r w:rsidRPr="004874B3">
        <w:rPr>
          <w:rFonts w:ascii="Times New Roman" w:eastAsia="Times New Roman" w:hAnsi="Times New Roman" w:cs="Times New Roman"/>
          <w:sz w:val="24"/>
          <w:szCs w:val="24"/>
        </w:rPr>
        <w:t>kmeans</w:t>
      </w:r>
      <w:proofErr w:type="spellEnd"/>
      <w:r w:rsidRPr="004874B3">
        <w:rPr>
          <w:rFonts w:ascii="Times New Roman" w:eastAsia="Times New Roman" w:hAnsi="Times New Roman" w:cs="Times New Roman"/>
          <w:sz w:val="24"/>
          <w:szCs w:val="24"/>
        </w:rPr>
        <w:t xml:space="preserve"> from the stats package v3.6.2 and visualized using </w:t>
      </w:r>
      <w:proofErr w:type="spellStart"/>
      <w:r w:rsidRPr="004874B3">
        <w:rPr>
          <w:rFonts w:ascii="Times New Roman" w:eastAsia="Times New Roman" w:hAnsi="Times New Roman" w:cs="Times New Roman"/>
          <w:sz w:val="24"/>
          <w:szCs w:val="24"/>
        </w:rPr>
        <w:t>fviz_cluster</w:t>
      </w:r>
      <w:proofErr w:type="spellEnd"/>
      <w:r w:rsidRPr="004874B3">
        <w:rPr>
          <w:rFonts w:ascii="Times New Roman" w:eastAsia="Times New Roman" w:hAnsi="Times New Roman" w:cs="Times New Roman"/>
          <w:sz w:val="24"/>
          <w:szCs w:val="24"/>
        </w:rPr>
        <w:t>.</w:t>
      </w:r>
    </w:p>
    <w:p w14:paraId="54AB91C1" w14:textId="77777777" w:rsidR="0061647F" w:rsidRPr="004874B3" w:rsidRDefault="006D77AA">
      <w:pPr>
        <w:spacing w:line="360" w:lineRule="auto"/>
        <w:jc w:val="both"/>
        <w:rPr>
          <w:rFonts w:ascii="Times New Roman" w:eastAsia="Times New Roman" w:hAnsi="Times New Roman" w:cs="Times New Roman"/>
          <w:sz w:val="24"/>
          <w:szCs w:val="24"/>
        </w:rPr>
      </w:pPr>
      <w:r w:rsidRPr="004874B3">
        <w:rPr>
          <w:rFonts w:ascii="Times New Roman" w:eastAsia="Times New Roman" w:hAnsi="Times New Roman" w:cs="Times New Roman"/>
          <w:sz w:val="24"/>
          <w:szCs w:val="24"/>
        </w:rPr>
        <w:t xml:space="preserve">Since clustering did not reveal strong grouping by sample type, season, or location, all quality-filtered reads were pooled for </w:t>
      </w:r>
      <w:r w:rsidRPr="004874B3">
        <w:rPr>
          <w:rFonts w:ascii="Times New Roman" w:eastAsia="Times New Roman" w:hAnsi="Times New Roman" w:cs="Times New Roman"/>
          <w:i/>
          <w:iCs/>
          <w:sz w:val="24"/>
          <w:szCs w:val="24"/>
        </w:rPr>
        <w:t xml:space="preserve">de novo </w:t>
      </w:r>
      <w:sdt>
        <w:sdtPr>
          <w:rPr>
            <w:rFonts w:ascii="Times New Roman" w:hAnsi="Times New Roman" w:cs="Times New Roman"/>
          </w:rPr>
          <w:tag w:val="goog_rdk_0"/>
          <w:id w:val="-1631503458"/>
        </w:sdtPr>
        <w:sdtEndPr/>
        <w:sdtContent>
          <w:r w:rsidRPr="004874B3">
            <w:rPr>
              <w:rFonts w:ascii="Times New Roman" w:eastAsia="Gungsuh" w:hAnsi="Times New Roman" w:cs="Times New Roman"/>
              <w:sz w:val="24"/>
              <w:szCs w:val="24"/>
            </w:rPr>
            <w:t xml:space="preserve">co-assembly using metaSPAdes v3.13.1 (Nurk et al., 2017) with </w:t>
          </w:r>
          <w:proofErr w:type="spellStart"/>
          <w:r w:rsidRPr="004874B3">
            <w:rPr>
              <w:rFonts w:ascii="Times New Roman" w:eastAsia="Gungsuh" w:hAnsi="Times New Roman" w:cs="Times New Roman"/>
              <w:sz w:val="24"/>
              <w:szCs w:val="24"/>
            </w:rPr>
            <w:t>kmer</w:t>
          </w:r>
          <w:proofErr w:type="spellEnd"/>
          <w:r w:rsidRPr="004874B3">
            <w:rPr>
              <w:rFonts w:ascii="Times New Roman" w:eastAsia="Gungsuh" w:hAnsi="Times New Roman" w:cs="Times New Roman"/>
              <w:sz w:val="24"/>
              <w:szCs w:val="24"/>
            </w:rPr>
            <w:t xml:space="preserve"> sizes of 21, 33, 55, 77, 99, and 127. The initial assembly produced 940,345 contigs ≥ 1 kb. Evaluation of the assembly process showed that 91.6 </w:t>
          </w:r>
        </w:sdtContent>
      </w:sdt>
      <w:r w:rsidRPr="004874B3">
        <w:rPr>
          <w:rFonts w:ascii="Times New Roman" w:eastAsia="Times New Roman" w:hAnsi="Times New Roman" w:cs="Times New Roman"/>
          <w:sz w:val="24"/>
          <w:szCs w:val="24"/>
          <w:highlight w:val="white"/>
        </w:rPr>
        <w:t xml:space="preserve">± 1.87 % of raw sequence reads were retained through assembly. </w:t>
      </w:r>
      <w:r w:rsidRPr="004874B3">
        <w:rPr>
          <w:rFonts w:ascii="Times New Roman" w:eastAsia="Times New Roman" w:hAnsi="Times New Roman" w:cs="Times New Roman"/>
          <w:sz w:val="24"/>
          <w:szCs w:val="24"/>
        </w:rPr>
        <w:t xml:space="preserve">Contigs &lt;1 kb </w:t>
      </w:r>
      <w:proofErr w:type="gramStart"/>
      <w:r w:rsidRPr="004874B3">
        <w:rPr>
          <w:rFonts w:ascii="Times New Roman" w:eastAsia="Times New Roman" w:hAnsi="Times New Roman" w:cs="Times New Roman"/>
          <w:sz w:val="24"/>
          <w:szCs w:val="24"/>
        </w:rPr>
        <w:t>were</w:t>
      </w:r>
      <w:proofErr w:type="gramEnd"/>
      <w:r w:rsidRPr="004874B3">
        <w:rPr>
          <w:rFonts w:ascii="Times New Roman" w:eastAsia="Times New Roman" w:hAnsi="Times New Roman" w:cs="Times New Roman"/>
          <w:sz w:val="24"/>
          <w:szCs w:val="24"/>
        </w:rPr>
        <w:t xml:space="preserve"> removed using </w:t>
      </w:r>
      <w:proofErr w:type="spellStart"/>
      <w:r w:rsidRPr="004874B3">
        <w:rPr>
          <w:rFonts w:ascii="Times New Roman" w:eastAsia="Times New Roman" w:hAnsi="Times New Roman" w:cs="Times New Roman"/>
          <w:sz w:val="24"/>
          <w:szCs w:val="24"/>
        </w:rPr>
        <w:t>seqtk</w:t>
      </w:r>
      <w:proofErr w:type="spellEnd"/>
      <w:r w:rsidRPr="004874B3">
        <w:rPr>
          <w:rFonts w:ascii="Times New Roman" w:eastAsia="Times New Roman" w:hAnsi="Times New Roman" w:cs="Times New Roman"/>
          <w:sz w:val="24"/>
          <w:szCs w:val="24"/>
        </w:rPr>
        <w:t xml:space="preserve">, and redundant contigs were eliminated using </w:t>
      </w:r>
      <w:proofErr w:type="spellStart"/>
      <w:r w:rsidRPr="004874B3">
        <w:rPr>
          <w:rFonts w:ascii="Times New Roman" w:eastAsia="Times New Roman" w:hAnsi="Times New Roman" w:cs="Times New Roman"/>
          <w:sz w:val="24"/>
          <w:szCs w:val="24"/>
        </w:rPr>
        <w:t>BBTools</w:t>
      </w:r>
      <w:proofErr w:type="spellEnd"/>
      <w:r w:rsidRPr="004874B3">
        <w:rPr>
          <w:rFonts w:ascii="Times New Roman" w:eastAsia="Times New Roman" w:hAnsi="Times New Roman" w:cs="Times New Roman"/>
          <w:sz w:val="24"/>
          <w:szCs w:val="24"/>
        </w:rPr>
        <w:t xml:space="preserve"> dedupe v38.76. Assembly quality was evaluated with QUAST v5.0.2 (</w:t>
      </w:r>
      <w:r w:rsidRPr="004874B3">
        <w:rPr>
          <w:rFonts w:ascii="Times New Roman" w:eastAsia="Times New Roman" w:hAnsi="Times New Roman" w:cs="Times New Roman"/>
          <w:color w:val="222222"/>
          <w:sz w:val="24"/>
          <w:szCs w:val="24"/>
          <w:highlight w:val="white"/>
        </w:rPr>
        <w:t>Gurevich et al., 2013)</w:t>
      </w:r>
      <w:r w:rsidRPr="004874B3">
        <w:rPr>
          <w:rFonts w:ascii="Times New Roman" w:eastAsia="Times New Roman" w:hAnsi="Times New Roman" w:cs="Times New Roman"/>
          <w:sz w:val="24"/>
          <w:szCs w:val="24"/>
        </w:rPr>
        <w:t xml:space="preserve">. Mapping rates were determined (Table S4) by aligning paired-end reads to assemblies with BWA-MEM (Li, 2013) and filtering unmapped reads with </w:t>
      </w:r>
      <w:proofErr w:type="spellStart"/>
      <w:r w:rsidRPr="004874B3">
        <w:rPr>
          <w:rFonts w:ascii="Times New Roman" w:eastAsia="Times New Roman" w:hAnsi="Times New Roman" w:cs="Times New Roman"/>
          <w:sz w:val="24"/>
          <w:szCs w:val="24"/>
        </w:rPr>
        <w:t>samtools</w:t>
      </w:r>
      <w:proofErr w:type="spellEnd"/>
      <w:r w:rsidRPr="004874B3">
        <w:rPr>
          <w:rFonts w:ascii="Times New Roman" w:eastAsia="Times New Roman" w:hAnsi="Times New Roman" w:cs="Times New Roman"/>
          <w:sz w:val="24"/>
          <w:szCs w:val="24"/>
        </w:rPr>
        <w:t xml:space="preserve"> view (-</w:t>
      </w:r>
      <w:proofErr w:type="spellStart"/>
      <w:r w:rsidRPr="004874B3">
        <w:rPr>
          <w:rFonts w:ascii="Times New Roman" w:eastAsia="Times New Roman" w:hAnsi="Times New Roman" w:cs="Times New Roman"/>
          <w:sz w:val="24"/>
          <w:szCs w:val="24"/>
        </w:rPr>
        <w:t>hbS</w:t>
      </w:r>
      <w:proofErr w:type="spellEnd"/>
      <w:r w:rsidRPr="004874B3">
        <w:rPr>
          <w:rFonts w:ascii="Times New Roman" w:eastAsia="Times New Roman" w:hAnsi="Times New Roman" w:cs="Times New Roman"/>
          <w:sz w:val="24"/>
          <w:szCs w:val="24"/>
        </w:rPr>
        <w:t xml:space="preserve"> -F4), followed by sorting and calculating coverage using </w:t>
      </w:r>
      <w:proofErr w:type="spellStart"/>
      <w:r w:rsidRPr="004874B3">
        <w:rPr>
          <w:rFonts w:ascii="Times New Roman" w:eastAsia="Times New Roman" w:hAnsi="Times New Roman" w:cs="Times New Roman"/>
          <w:sz w:val="24"/>
          <w:szCs w:val="24"/>
        </w:rPr>
        <w:t>CoverM</w:t>
      </w:r>
      <w:proofErr w:type="spellEnd"/>
      <w:r w:rsidRPr="004874B3">
        <w:rPr>
          <w:rFonts w:ascii="Times New Roman" w:eastAsia="Times New Roman" w:hAnsi="Times New Roman" w:cs="Times New Roman"/>
          <w:sz w:val="24"/>
          <w:szCs w:val="24"/>
        </w:rPr>
        <w:t xml:space="preserve"> v0.4.0 (method = count).</w:t>
      </w:r>
    </w:p>
    <w:p w14:paraId="550377AC" w14:textId="77777777" w:rsidR="0061647F" w:rsidRPr="004874B3" w:rsidRDefault="006D77AA">
      <w:pPr>
        <w:spacing w:before="240" w:after="240" w:line="360" w:lineRule="auto"/>
        <w:jc w:val="both"/>
        <w:rPr>
          <w:rFonts w:ascii="Times New Roman" w:eastAsia="Times New Roman" w:hAnsi="Times New Roman" w:cs="Times New Roman"/>
          <w:sz w:val="24"/>
          <w:szCs w:val="24"/>
        </w:rPr>
      </w:pPr>
      <w:r w:rsidRPr="004874B3">
        <w:rPr>
          <w:rFonts w:ascii="Times New Roman" w:eastAsia="Times New Roman" w:hAnsi="Times New Roman" w:cs="Times New Roman"/>
          <w:sz w:val="24"/>
          <w:szCs w:val="24"/>
        </w:rPr>
        <w:t xml:space="preserve">Protein-coding sequences were predicted with </w:t>
      </w:r>
      <w:proofErr w:type="spellStart"/>
      <w:r w:rsidRPr="004874B3">
        <w:rPr>
          <w:rFonts w:ascii="Times New Roman" w:eastAsia="Times New Roman" w:hAnsi="Times New Roman" w:cs="Times New Roman"/>
          <w:sz w:val="24"/>
          <w:szCs w:val="24"/>
        </w:rPr>
        <w:t>Prokka</w:t>
      </w:r>
      <w:proofErr w:type="spellEnd"/>
      <w:r w:rsidRPr="004874B3">
        <w:rPr>
          <w:rFonts w:ascii="Times New Roman" w:eastAsia="Times New Roman" w:hAnsi="Times New Roman" w:cs="Times New Roman"/>
          <w:sz w:val="24"/>
          <w:szCs w:val="24"/>
        </w:rPr>
        <w:t xml:space="preserve"> v1.14.6 (Seemann, 2014), which used Prodigal in metagenome mode to identify open reading frames (ORFs). ORFs were annotated against the KEGG database (</w:t>
      </w:r>
      <w:proofErr w:type="spellStart"/>
      <w:r w:rsidRPr="004874B3">
        <w:rPr>
          <w:rFonts w:ascii="Times New Roman" w:eastAsia="Times New Roman" w:hAnsi="Times New Roman" w:cs="Times New Roman"/>
          <w:sz w:val="24"/>
          <w:szCs w:val="24"/>
        </w:rPr>
        <w:t>Kanehisa</w:t>
      </w:r>
      <w:proofErr w:type="spellEnd"/>
      <w:r w:rsidRPr="004874B3">
        <w:rPr>
          <w:rFonts w:ascii="Times New Roman" w:eastAsia="Times New Roman" w:hAnsi="Times New Roman" w:cs="Times New Roman"/>
          <w:sz w:val="24"/>
          <w:szCs w:val="24"/>
        </w:rPr>
        <w:t xml:space="preserve"> and </w:t>
      </w:r>
      <w:proofErr w:type="spellStart"/>
      <w:r w:rsidRPr="004874B3">
        <w:rPr>
          <w:rFonts w:ascii="Times New Roman" w:eastAsia="Times New Roman" w:hAnsi="Times New Roman" w:cs="Times New Roman"/>
          <w:sz w:val="24"/>
          <w:szCs w:val="24"/>
        </w:rPr>
        <w:t>Goto</w:t>
      </w:r>
      <w:proofErr w:type="spellEnd"/>
      <w:r w:rsidRPr="004874B3">
        <w:rPr>
          <w:rFonts w:ascii="Times New Roman" w:eastAsia="Times New Roman" w:hAnsi="Times New Roman" w:cs="Times New Roman"/>
          <w:sz w:val="24"/>
          <w:szCs w:val="24"/>
        </w:rPr>
        <w:t>, 2020), and nitrogen cycle genes were identified based on KEGG orthologs (KOs) and KEGG pathway assignments. Gene abundance was normalized across samples as reads per kilobase per million (RPKM). Protein sequences were aligned with MAFFT v7 using the L-INS-</w:t>
      </w:r>
      <w:proofErr w:type="spellStart"/>
      <w:r w:rsidRPr="004874B3">
        <w:rPr>
          <w:rFonts w:ascii="Times New Roman" w:eastAsia="Times New Roman" w:hAnsi="Times New Roman" w:cs="Times New Roman"/>
          <w:sz w:val="24"/>
          <w:szCs w:val="24"/>
        </w:rPr>
        <w:t>i</w:t>
      </w:r>
      <w:proofErr w:type="spellEnd"/>
      <w:r w:rsidRPr="004874B3">
        <w:rPr>
          <w:rFonts w:ascii="Times New Roman" w:eastAsia="Times New Roman" w:hAnsi="Times New Roman" w:cs="Times New Roman"/>
          <w:sz w:val="24"/>
          <w:szCs w:val="24"/>
        </w:rPr>
        <w:t xml:space="preserve"> method and trimmed for consistency (REF). Maximum likelihood phylogenetic trees were generated with IQ-TREE (</w:t>
      </w:r>
      <w:proofErr w:type="spellStart"/>
      <w:r w:rsidRPr="004874B3">
        <w:rPr>
          <w:rFonts w:ascii="Times New Roman" w:eastAsia="Times New Roman" w:hAnsi="Times New Roman" w:cs="Times New Roman"/>
          <w:sz w:val="24"/>
          <w:szCs w:val="24"/>
        </w:rPr>
        <w:t>Trifinopoulos</w:t>
      </w:r>
      <w:proofErr w:type="spellEnd"/>
      <w:r w:rsidRPr="004874B3">
        <w:rPr>
          <w:rFonts w:ascii="Times New Roman" w:eastAsia="Times New Roman" w:hAnsi="Times New Roman" w:cs="Times New Roman"/>
          <w:sz w:val="24"/>
          <w:szCs w:val="24"/>
        </w:rPr>
        <w:t xml:space="preserve"> et al., 2016) using model selection and 1000 bootstrap iterations, and visualized in </w:t>
      </w:r>
      <w:proofErr w:type="spellStart"/>
      <w:r w:rsidRPr="004874B3">
        <w:rPr>
          <w:rFonts w:ascii="Times New Roman" w:eastAsia="Times New Roman" w:hAnsi="Times New Roman" w:cs="Times New Roman"/>
          <w:sz w:val="24"/>
          <w:szCs w:val="24"/>
        </w:rPr>
        <w:t>iTOL</w:t>
      </w:r>
      <w:proofErr w:type="spellEnd"/>
      <w:r w:rsidRPr="004874B3">
        <w:rPr>
          <w:rFonts w:ascii="Times New Roman" w:eastAsia="Times New Roman" w:hAnsi="Times New Roman" w:cs="Times New Roman"/>
          <w:sz w:val="24"/>
          <w:szCs w:val="24"/>
        </w:rPr>
        <w:t xml:space="preserve"> (</w:t>
      </w:r>
      <w:proofErr w:type="spellStart"/>
      <w:r w:rsidRPr="004874B3">
        <w:rPr>
          <w:rFonts w:ascii="Times New Roman" w:eastAsia="Times New Roman" w:hAnsi="Times New Roman" w:cs="Times New Roman"/>
          <w:sz w:val="24"/>
          <w:szCs w:val="24"/>
        </w:rPr>
        <w:t>Letunic</w:t>
      </w:r>
      <w:proofErr w:type="spellEnd"/>
      <w:r w:rsidRPr="004874B3">
        <w:rPr>
          <w:rFonts w:ascii="Times New Roman" w:eastAsia="Times New Roman" w:hAnsi="Times New Roman" w:cs="Times New Roman"/>
          <w:sz w:val="24"/>
          <w:szCs w:val="24"/>
        </w:rPr>
        <w:t xml:space="preserve"> and Bork, 2024).</w:t>
      </w:r>
    </w:p>
    <w:p w14:paraId="0112E42B" w14:textId="77777777" w:rsidR="0061647F" w:rsidRPr="004874B3" w:rsidRDefault="00974989">
      <w:pPr>
        <w:spacing w:before="240" w:after="240" w:line="360" w:lineRule="auto"/>
        <w:jc w:val="both"/>
        <w:rPr>
          <w:rFonts w:ascii="Times New Roman" w:eastAsia="Times New Roman" w:hAnsi="Times New Roman" w:cs="Times New Roman"/>
          <w:sz w:val="24"/>
          <w:szCs w:val="24"/>
        </w:rPr>
      </w:pPr>
      <w:sdt>
        <w:sdtPr>
          <w:rPr>
            <w:rFonts w:ascii="Times New Roman" w:hAnsi="Times New Roman" w:cs="Times New Roman"/>
          </w:rPr>
          <w:tag w:val="goog_rdk_1"/>
          <w:id w:val="1471598461"/>
        </w:sdtPr>
        <w:sdtEndPr/>
        <w:sdtContent>
          <w:r w:rsidR="006D77AA" w:rsidRPr="004874B3">
            <w:rPr>
              <w:rFonts w:ascii="Times New Roman" w:eastAsia="Gungsuh" w:hAnsi="Times New Roman" w:cs="Times New Roman"/>
              <w:sz w:val="24"/>
              <w:szCs w:val="24"/>
            </w:rPr>
            <w:t xml:space="preserve">Contigs ≥ 1 kb were binned using </w:t>
          </w:r>
          <w:proofErr w:type="spellStart"/>
          <w:r w:rsidR="006D77AA" w:rsidRPr="004874B3">
            <w:rPr>
              <w:rFonts w:ascii="Times New Roman" w:eastAsia="Gungsuh" w:hAnsi="Times New Roman" w:cs="Times New Roman"/>
              <w:sz w:val="24"/>
              <w:szCs w:val="24"/>
            </w:rPr>
            <w:t>Anvi'o</w:t>
          </w:r>
          <w:proofErr w:type="spellEnd"/>
          <w:r w:rsidR="006D77AA" w:rsidRPr="004874B3">
            <w:rPr>
              <w:rFonts w:ascii="Times New Roman" w:eastAsia="Gungsuh" w:hAnsi="Times New Roman" w:cs="Times New Roman"/>
              <w:sz w:val="24"/>
              <w:szCs w:val="24"/>
            </w:rPr>
            <w:t xml:space="preserve"> v6.1 (</w:t>
          </w:r>
          <w:proofErr w:type="spellStart"/>
          <w:r w:rsidR="006D77AA" w:rsidRPr="004874B3">
            <w:rPr>
              <w:rFonts w:ascii="Times New Roman" w:eastAsia="Gungsuh" w:hAnsi="Times New Roman" w:cs="Times New Roman"/>
              <w:sz w:val="24"/>
              <w:szCs w:val="24"/>
            </w:rPr>
            <w:t>Eren</w:t>
          </w:r>
          <w:proofErr w:type="spellEnd"/>
          <w:r w:rsidR="006D77AA" w:rsidRPr="004874B3">
            <w:rPr>
              <w:rFonts w:ascii="Times New Roman" w:eastAsia="Gungsuh" w:hAnsi="Times New Roman" w:cs="Times New Roman"/>
              <w:sz w:val="24"/>
              <w:szCs w:val="24"/>
            </w:rPr>
            <w:t xml:space="preserve"> et al., 2015) with CONCOCT v1.1.1 (</w:t>
          </w:r>
          <w:proofErr w:type="spellStart"/>
          <w:r w:rsidR="006D77AA" w:rsidRPr="004874B3">
            <w:rPr>
              <w:rFonts w:ascii="Times New Roman" w:eastAsia="Gungsuh" w:hAnsi="Times New Roman" w:cs="Times New Roman"/>
              <w:sz w:val="24"/>
              <w:szCs w:val="24"/>
            </w:rPr>
            <w:t>Alneberg</w:t>
          </w:r>
          <w:proofErr w:type="spellEnd"/>
          <w:r w:rsidR="006D77AA" w:rsidRPr="004874B3">
            <w:rPr>
              <w:rFonts w:ascii="Times New Roman" w:eastAsia="Gungsuh" w:hAnsi="Times New Roman" w:cs="Times New Roman"/>
              <w:sz w:val="24"/>
              <w:szCs w:val="24"/>
            </w:rPr>
            <w:t xml:space="preserve"> et al., 2014), </w:t>
          </w:r>
          <w:proofErr w:type="spellStart"/>
          <w:r w:rsidR="006D77AA" w:rsidRPr="004874B3">
            <w:rPr>
              <w:rFonts w:ascii="Times New Roman" w:eastAsia="Gungsuh" w:hAnsi="Times New Roman" w:cs="Times New Roman"/>
              <w:sz w:val="24"/>
              <w:szCs w:val="24"/>
            </w:rPr>
            <w:t>MetaBAT</w:t>
          </w:r>
          <w:proofErr w:type="spellEnd"/>
          <w:r w:rsidR="006D77AA" w:rsidRPr="004874B3">
            <w:rPr>
              <w:rFonts w:ascii="Times New Roman" w:eastAsia="Gungsuh" w:hAnsi="Times New Roman" w:cs="Times New Roman"/>
              <w:sz w:val="24"/>
              <w:szCs w:val="24"/>
            </w:rPr>
            <w:t xml:space="preserve"> v2.12.1 (Kang et al., 2019), and </w:t>
          </w:r>
          <w:proofErr w:type="spellStart"/>
          <w:r w:rsidR="006D77AA" w:rsidRPr="004874B3">
            <w:rPr>
              <w:rFonts w:ascii="Times New Roman" w:eastAsia="Gungsuh" w:hAnsi="Times New Roman" w:cs="Times New Roman"/>
              <w:sz w:val="24"/>
              <w:szCs w:val="24"/>
            </w:rPr>
            <w:t>MaxBin</w:t>
          </w:r>
          <w:proofErr w:type="spellEnd"/>
          <w:r w:rsidR="006D77AA" w:rsidRPr="004874B3">
            <w:rPr>
              <w:rFonts w:ascii="Times New Roman" w:eastAsia="Gungsuh" w:hAnsi="Times New Roman" w:cs="Times New Roman"/>
              <w:sz w:val="24"/>
              <w:szCs w:val="24"/>
            </w:rPr>
            <w:t xml:space="preserve"> v2.2.4 (Wu et al., </w:t>
          </w:r>
          <w:r w:rsidR="006D77AA" w:rsidRPr="004874B3">
            <w:rPr>
              <w:rFonts w:ascii="Times New Roman" w:eastAsia="Gungsuh" w:hAnsi="Times New Roman" w:cs="Times New Roman"/>
              <w:sz w:val="24"/>
              <w:szCs w:val="24"/>
            </w:rPr>
            <w:lastRenderedPageBreak/>
            <w:t xml:space="preserve">2016), incorporating tetranucleotide frequencies and contig coverage across samples. DAS Tool v1.1.0 (Sieber et al., 2018) was used to integrate binning outputs and identify high-quality nonredundant bins using default parameters. This process yielded 2467 MAGs. </w:t>
          </w:r>
          <w:proofErr w:type="spellStart"/>
          <w:r w:rsidR="006D77AA" w:rsidRPr="004874B3">
            <w:rPr>
              <w:rFonts w:ascii="Times New Roman" w:eastAsia="Gungsuh" w:hAnsi="Times New Roman" w:cs="Times New Roman"/>
              <w:sz w:val="24"/>
              <w:szCs w:val="24"/>
            </w:rPr>
            <w:t>Anvi'o's</w:t>
          </w:r>
          <w:proofErr w:type="spellEnd"/>
          <w:r w:rsidR="006D77AA" w:rsidRPr="004874B3">
            <w:rPr>
              <w:rFonts w:ascii="Times New Roman" w:eastAsia="Gungsuh" w:hAnsi="Times New Roman" w:cs="Times New Roman"/>
              <w:sz w:val="24"/>
              <w:szCs w:val="24"/>
            </w:rPr>
            <w:t xml:space="preserve"> </w:t>
          </w:r>
          <w:proofErr w:type="spellStart"/>
          <w:r w:rsidR="006D77AA" w:rsidRPr="004874B3">
            <w:rPr>
              <w:rFonts w:ascii="Times New Roman" w:eastAsia="Gungsuh" w:hAnsi="Times New Roman" w:cs="Times New Roman"/>
              <w:sz w:val="24"/>
              <w:szCs w:val="24"/>
            </w:rPr>
            <w:t>anvi</w:t>
          </w:r>
          <w:proofErr w:type="spellEnd"/>
          <w:r w:rsidR="006D77AA" w:rsidRPr="004874B3">
            <w:rPr>
              <w:rFonts w:ascii="Times New Roman" w:eastAsia="Gungsuh" w:hAnsi="Times New Roman" w:cs="Times New Roman"/>
              <w:sz w:val="24"/>
              <w:szCs w:val="24"/>
            </w:rPr>
            <w:t xml:space="preserve">-summarize was used to extract bin statistics (i.e., total size, number of contigs, N50, GC content), and CheckM v1.0.18 (Parks et al., 2015) provided quality estimates (completeness, redundancy, strain heterogeneity, etc.). Read mapping rates and coverage calculations followed the same workflow as above using BWA-MEM, </w:t>
          </w:r>
          <w:proofErr w:type="spellStart"/>
          <w:r w:rsidR="006D77AA" w:rsidRPr="004874B3">
            <w:rPr>
              <w:rFonts w:ascii="Times New Roman" w:eastAsia="Gungsuh" w:hAnsi="Times New Roman" w:cs="Times New Roman"/>
              <w:sz w:val="24"/>
              <w:szCs w:val="24"/>
            </w:rPr>
            <w:t>samtools</w:t>
          </w:r>
          <w:proofErr w:type="spellEnd"/>
          <w:r w:rsidR="006D77AA" w:rsidRPr="004874B3">
            <w:rPr>
              <w:rFonts w:ascii="Times New Roman" w:eastAsia="Gungsuh" w:hAnsi="Times New Roman" w:cs="Times New Roman"/>
              <w:sz w:val="24"/>
              <w:szCs w:val="24"/>
            </w:rPr>
            <w:t xml:space="preserve">, and </w:t>
          </w:r>
          <w:proofErr w:type="spellStart"/>
          <w:r w:rsidR="006D77AA" w:rsidRPr="004874B3">
            <w:rPr>
              <w:rFonts w:ascii="Times New Roman" w:eastAsia="Gungsuh" w:hAnsi="Times New Roman" w:cs="Times New Roman"/>
              <w:sz w:val="24"/>
              <w:szCs w:val="24"/>
            </w:rPr>
            <w:t>CoverM</w:t>
          </w:r>
          <w:proofErr w:type="spellEnd"/>
          <w:r w:rsidR="006D77AA" w:rsidRPr="004874B3">
            <w:rPr>
              <w:rFonts w:ascii="Times New Roman" w:eastAsia="Gungsuh" w:hAnsi="Times New Roman" w:cs="Times New Roman"/>
              <w:sz w:val="24"/>
              <w:szCs w:val="24"/>
            </w:rPr>
            <w:t>.</w:t>
          </w:r>
        </w:sdtContent>
      </w:sdt>
    </w:p>
    <w:p w14:paraId="4CC80190" w14:textId="77777777" w:rsidR="0061647F" w:rsidRPr="004874B3" w:rsidRDefault="00974989">
      <w:pPr>
        <w:spacing w:before="240" w:after="240" w:line="360" w:lineRule="auto"/>
        <w:jc w:val="both"/>
        <w:rPr>
          <w:rFonts w:ascii="Times New Roman" w:eastAsia="Times New Roman" w:hAnsi="Times New Roman" w:cs="Times New Roman"/>
          <w:sz w:val="24"/>
          <w:szCs w:val="24"/>
        </w:rPr>
      </w:pPr>
      <w:sdt>
        <w:sdtPr>
          <w:rPr>
            <w:rFonts w:ascii="Times New Roman" w:hAnsi="Times New Roman" w:cs="Times New Roman"/>
          </w:rPr>
          <w:tag w:val="goog_rdk_2"/>
          <w:id w:val="1418811562"/>
        </w:sdtPr>
        <w:sdtEndPr/>
        <w:sdtContent>
          <w:r w:rsidR="006D77AA" w:rsidRPr="004874B3">
            <w:rPr>
              <w:rFonts w:ascii="Times New Roman" w:eastAsia="Gungsuh" w:hAnsi="Times New Roman" w:cs="Times New Roman"/>
              <w:sz w:val="24"/>
              <w:szCs w:val="24"/>
            </w:rPr>
            <w:t xml:space="preserve">To enhance bin quality, bins with ≥50% completeness were selected for reassembly (Fig. S2). Paired quality-trimmed reads linked to individual bins were extracted with samtools and reassembled using metaSPAdes v.3.13.1 (Nurk et al., 2017) with </w:t>
          </w:r>
          <w:proofErr w:type="spellStart"/>
          <w:r w:rsidR="006D77AA" w:rsidRPr="004874B3">
            <w:rPr>
              <w:rFonts w:ascii="Times New Roman" w:eastAsia="Gungsuh" w:hAnsi="Times New Roman" w:cs="Times New Roman"/>
              <w:sz w:val="24"/>
              <w:szCs w:val="24"/>
            </w:rPr>
            <w:t>kmer</w:t>
          </w:r>
          <w:proofErr w:type="spellEnd"/>
          <w:r w:rsidR="006D77AA" w:rsidRPr="004874B3">
            <w:rPr>
              <w:rFonts w:ascii="Times New Roman" w:eastAsia="Gungsuh" w:hAnsi="Times New Roman" w:cs="Times New Roman"/>
              <w:sz w:val="24"/>
              <w:szCs w:val="24"/>
            </w:rPr>
            <w:t xml:space="preserve"> sizes 21, 33, 55, 77, 99, and 127. Reassembled contigs were binned and evaluated as previously described. After filtering for completeness &gt;50% and contamination &lt;10%, 1284 MAGs were retained. CONCOCT, MetaBAT2, and DAS Tool bins showed high mapping rates (&gt;81%), while MaxBin2 bins exhibited lower mapping (52.52 ± 3.93%) and were further excluded from downstream analysis (Table S5).</w:t>
          </w:r>
        </w:sdtContent>
      </w:sdt>
    </w:p>
    <w:p w14:paraId="2FF0D724" w14:textId="77777777" w:rsidR="0061647F" w:rsidRPr="004874B3" w:rsidRDefault="006D77AA">
      <w:pPr>
        <w:spacing w:line="360" w:lineRule="auto"/>
        <w:jc w:val="both"/>
        <w:rPr>
          <w:rFonts w:ascii="Times New Roman" w:eastAsia="Times New Roman" w:hAnsi="Times New Roman" w:cs="Times New Roman"/>
          <w:sz w:val="24"/>
          <w:szCs w:val="24"/>
        </w:rPr>
      </w:pPr>
      <w:r w:rsidRPr="004874B3">
        <w:rPr>
          <w:rFonts w:ascii="Times New Roman" w:eastAsia="Times New Roman" w:hAnsi="Times New Roman" w:cs="Times New Roman"/>
          <w:sz w:val="24"/>
          <w:szCs w:val="24"/>
        </w:rPr>
        <w:t xml:space="preserve">Further manual refinement was performed on the original bin sets from </w:t>
      </w:r>
      <w:proofErr w:type="spellStart"/>
      <w:r w:rsidRPr="004874B3">
        <w:rPr>
          <w:rFonts w:ascii="Times New Roman" w:eastAsia="Times New Roman" w:hAnsi="Times New Roman" w:cs="Times New Roman"/>
          <w:sz w:val="24"/>
          <w:szCs w:val="24"/>
        </w:rPr>
        <w:t>MetaBAT</w:t>
      </w:r>
      <w:proofErr w:type="spellEnd"/>
      <w:r w:rsidRPr="004874B3">
        <w:rPr>
          <w:rFonts w:ascii="Times New Roman" w:eastAsia="Times New Roman" w:hAnsi="Times New Roman" w:cs="Times New Roman"/>
          <w:sz w:val="24"/>
          <w:szCs w:val="24"/>
        </w:rPr>
        <w:t xml:space="preserve"> and Das Tool and the reassembled bin sets of CONCOCT using the interactive interface of Anvi'o v6.1 (Fig. S2). MAG characteristics and mapping rates were determined as described above. To assess completeness according to Metagenome-Assembled Genome (MIMAG) standards (Bowers et al., 2017), ribosomal RNAs (rRNAs) and transfer RNAs (tRNAs) were annotated with </w:t>
      </w:r>
      <w:proofErr w:type="spellStart"/>
      <w:r w:rsidRPr="004874B3">
        <w:rPr>
          <w:rFonts w:ascii="Times New Roman" w:eastAsia="Times New Roman" w:hAnsi="Times New Roman" w:cs="Times New Roman"/>
          <w:sz w:val="24"/>
          <w:szCs w:val="24"/>
        </w:rPr>
        <w:t>Prokka</w:t>
      </w:r>
      <w:proofErr w:type="spellEnd"/>
      <w:r w:rsidRPr="004874B3">
        <w:rPr>
          <w:rFonts w:ascii="Times New Roman" w:eastAsia="Times New Roman" w:hAnsi="Times New Roman" w:cs="Times New Roman"/>
          <w:sz w:val="24"/>
          <w:szCs w:val="24"/>
        </w:rPr>
        <w:t xml:space="preserve"> v. 1.14.6. Dereplication was performed with </w:t>
      </w:r>
      <w:proofErr w:type="spellStart"/>
      <w:r w:rsidRPr="004874B3">
        <w:rPr>
          <w:rFonts w:ascii="Times New Roman" w:eastAsia="Times New Roman" w:hAnsi="Times New Roman" w:cs="Times New Roman"/>
          <w:sz w:val="24"/>
          <w:szCs w:val="24"/>
        </w:rPr>
        <w:t>dRep</w:t>
      </w:r>
      <w:proofErr w:type="spellEnd"/>
      <w:r w:rsidRPr="004874B3">
        <w:rPr>
          <w:rFonts w:ascii="Times New Roman" w:eastAsia="Times New Roman" w:hAnsi="Times New Roman" w:cs="Times New Roman"/>
          <w:sz w:val="24"/>
          <w:szCs w:val="24"/>
        </w:rPr>
        <w:t xml:space="preserve"> v2.6.2 (Olm et al., 2017) to cluster MAGs into species-level representative genomes (SRGs) at 95% average nucleotide identity (ANI). This resulted in 668 dereplicated MAGs with an average completeness of 82.14 ± 15.29% and contamination of 2.23 ± 2.17% (Table S7). MAGs were classified taxonomically using GTDB-Tk v0.3.2 (</w:t>
      </w:r>
      <w:proofErr w:type="spellStart"/>
      <w:r w:rsidRPr="004874B3">
        <w:rPr>
          <w:rFonts w:ascii="Times New Roman" w:eastAsia="Times New Roman" w:hAnsi="Times New Roman" w:cs="Times New Roman"/>
          <w:sz w:val="24"/>
          <w:szCs w:val="24"/>
        </w:rPr>
        <w:t>Chaumeil</w:t>
      </w:r>
      <w:proofErr w:type="spellEnd"/>
      <w:r w:rsidRPr="004874B3">
        <w:rPr>
          <w:rFonts w:ascii="Times New Roman" w:eastAsia="Times New Roman" w:hAnsi="Times New Roman" w:cs="Times New Roman"/>
          <w:sz w:val="24"/>
          <w:szCs w:val="24"/>
        </w:rPr>
        <w:t xml:space="preserve"> et al., 2020), which places genomes into reference trees of concatenated marker proteins. MAG abundance (reads, RPKM, and covered bases) was calculated with </w:t>
      </w:r>
      <w:proofErr w:type="spellStart"/>
      <w:r w:rsidRPr="004874B3">
        <w:rPr>
          <w:rFonts w:ascii="Times New Roman" w:eastAsia="Times New Roman" w:hAnsi="Times New Roman" w:cs="Times New Roman"/>
          <w:sz w:val="24"/>
          <w:szCs w:val="24"/>
        </w:rPr>
        <w:t>CoverM</w:t>
      </w:r>
      <w:proofErr w:type="spellEnd"/>
      <w:r w:rsidRPr="004874B3">
        <w:rPr>
          <w:rFonts w:ascii="Times New Roman" w:eastAsia="Times New Roman" w:hAnsi="Times New Roman" w:cs="Times New Roman"/>
          <w:sz w:val="24"/>
          <w:szCs w:val="24"/>
        </w:rPr>
        <w:t xml:space="preserve">. Phylogenomic analysis of nitrifier MAGs was conducted with GToTree v1.6.31 (Lee, 2019), using </w:t>
      </w:r>
      <w:r w:rsidRPr="004874B3">
        <w:rPr>
          <w:rFonts w:ascii="Times New Roman" w:eastAsia="Times New Roman" w:hAnsi="Times New Roman" w:cs="Times New Roman"/>
          <w:i/>
          <w:iCs/>
          <w:sz w:val="24"/>
          <w:szCs w:val="24"/>
        </w:rPr>
        <w:t>Nitrosomonas</w:t>
      </w:r>
      <w:r w:rsidRPr="004874B3">
        <w:rPr>
          <w:rFonts w:ascii="Times New Roman" w:eastAsia="Times New Roman" w:hAnsi="Times New Roman" w:cs="Times New Roman"/>
          <w:sz w:val="24"/>
          <w:szCs w:val="24"/>
        </w:rPr>
        <w:t xml:space="preserve"> and </w:t>
      </w:r>
      <w:r w:rsidRPr="004874B3">
        <w:rPr>
          <w:rFonts w:ascii="Times New Roman" w:eastAsia="Times New Roman" w:hAnsi="Times New Roman" w:cs="Times New Roman"/>
          <w:i/>
          <w:iCs/>
          <w:sz w:val="24"/>
          <w:szCs w:val="24"/>
        </w:rPr>
        <w:t>Nitrospira</w:t>
      </w:r>
      <w:r w:rsidRPr="004874B3">
        <w:rPr>
          <w:rFonts w:ascii="Times New Roman" w:eastAsia="Times New Roman" w:hAnsi="Times New Roman" w:cs="Times New Roman"/>
          <w:sz w:val="24"/>
          <w:szCs w:val="24"/>
        </w:rPr>
        <w:t xml:space="preserve"> reference genomes from NCBI. GToTree extracted conserved single-copy marker genes, aligned them with MAFFT, trimmed alignments with </w:t>
      </w:r>
      <w:proofErr w:type="spellStart"/>
      <w:r w:rsidRPr="004874B3">
        <w:rPr>
          <w:rFonts w:ascii="Times New Roman" w:eastAsia="Times New Roman" w:hAnsi="Times New Roman" w:cs="Times New Roman"/>
          <w:sz w:val="24"/>
          <w:szCs w:val="24"/>
        </w:rPr>
        <w:t>trimAl</w:t>
      </w:r>
      <w:proofErr w:type="spellEnd"/>
      <w:r w:rsidRPr="004874B3">
        <w:rPr>
          <w:rFonts w:ascii="Times New Roman" w:eastAsia="Times New Roman" w:hAnsi="Times New Roman" w:cs="Times New Roman"/>
          <w:sz w:val="24"/>
          <w:szCs w:val="24"/>
        </w:rPr>
        <w:t>, and constructed maximum likelihood trees using IQ-TREE.</w:t>
      </w:r>
    </w:p>
    <w:p w14:paraId="02B2D438" w14:textId="77777777" w:rsidR="0061647F" w:rsidRPr="004874B3" w:rsidRDefault="006D77AA">
      <w:pPr>
        <w:pStyle w:val="Heading2"/>
        <w:spacing w:after="0" w:line="360" w:lineRule="auto"/>
        <w:rPr>
          <w:sz w:val="24"/>
          <w:szCs w:val="24"/>
        </w:rPr>
      </w:pPr>
      <w:bookmarkStart w:id="4" w:name="_heading=h.aawvelp5vu2y" w:colFirst="0" w:colLast="0"/>
      <w:bookmarkStart w:id="5" w:name="_GoBack"/>
      <w:bookmarkEnd w:id="4"/>
      <w:bookmarkEnd w:id="5"/>
      <w:r w:rsidRPr="004874B3">
        <w:rPr>
          <w:sz w:val="24"/>
          <w:szCs w:val="24"/>
        </w:rPr>
        <w:lastRenderedPageBreak/>
        <w:t xml:space="preserve">Text S3: Validation of </w:t>
      </w:r>
      <w:r w:rsidRPr="004874B3">
        <w:rPr>
          <w:i/>
          <w:iCs/>
          <w:sz w:val="24"/>
          <w:szCs w:val="24"/>
        </w:rPr>
        <w:t>Nitrosomonas</w:t>
      </w:r>
      <w:r w:rsidRPr="004874B3">
        <w:rPr>
          <w:sz w:val="24"/>
          <w:szCs w:val="24"/>
        </w:rPr>
        <w:t xml:space="preserve"> cluster 6a </w:t>
      </w:r>
      <w:r w:rsidRPr="004874B3">
        <w:rPr>
          <w:i/>
          <w:iCs/>
          <w:sz w:val="24"/>
          <w:szCs w:val="24"/>
        </w:rPr>
        <w:t>amoA</w:t>
      </w:r>
      <w:r w:rsidRPr="004874B3">
        <w:rPr>
          <w:sz w:val="24"/>
          <w:szCs w:val="24"/>
        </w:rPr>
        <w:t xml:space="preserve"> gene target </w:t>
      </w:r>
    </w:p>
    <w:p w14:paraId="21841514" w14:textId="77777777" w:rsidR="0061647F" w:rsidRPr="004874B3" w:rsidRDefault="006D77AA">
      <w:pPr>
        <w:spacing w:line="360" w:lineRule="auto"/>
        <w:jc w:val="both"/>
        <w:rPr>
          <w:rFonts w:ascii="Times New Roman" w:eastAsia="Times New Roman" w:hAnsi="Times New Roman" w:cs="Times New Roman"/>
          <w:sz w:val="24"/>
          <w:szCs w:val="24"/>
          <w:shd w:val="clear" w:color="auto" w:fill="FCE5CD"/>
        </w:rPr>
      </w:pPr>
      <w:r w:rsidRPr="004874B3">
        <w:rPr>
          <w:rFonts w:ascii="Times New Roman" w:eastAsia="Times New Roman" w:hAnsi="Times New Roman" w:cs="Times New Roman"/>
          <w:sz w:val="24"/>
          <w:szCs w:val="24"/>
        </w:rPr>
        <w:t xml:space="preserve">Nitrifier gene targets included the </w:t>
      </w:r>
      <w:proofErr w:type="spellStart"/>
      <w:r w:rsidRPr="004874B3">
        <w:rPr>
          <w:rFonts w:ascii="Times New Roman" w:eastAsia="Times New Roman" w:hAnsi="Times New Roman" w:cs="Times New Roman"/>
          <w:sz w:val="24"/>
          <w:szCs w:val="24"/>
        </w:rPr>
        <w:t>betaproteobacterial</w:t>
      </w:r>
      <w:proofErr w:type="spellEnd"/>
      <w:r w:rsidRPr="004874B3">
        <w:rPr>
          <w:rFonts w:ascii="Times New Roman" w:eastAsia="Times New Roman" w:hAnsi="Times New Roman" w:cs="Times New Roman"/>
          <w:sz w:val="24"/>
          <w:szCs w:val="24"/>
        </w:rPr>
        <w:t xml:space="preserve"> AOB 16S rRNA gene (Hermansson and Lindgren, 2001), the </w:t>
      </w:r>
      <w:r w:rsidRPr="004874B3">
        <w:rPr>
          <w:rFonts w:ascii="Times New Roman" w:eastAsia="Times New Roman" w:hAnsi="Times New Roman" w:cs="Times New Roman"/>
          <w:i/>
          <w:iCs/>
          <w:sz w:val="24"/>
          <w:szCs w:val="24"/>
        </w:rPr>
        <w:t>Nitrospira</w:t>
      </w:r>
      <w:r w:rsidRPr="004874B3">
        <w:rPr>
          <w:rFonts w:ascii="Times New Roman" w:eastAsia="Times New Roman" w:hAnsi="Times New Roman" w:cs="Times New Roman"/>
          <w:sz w:val="24"/>
          <w:szCs w:val="24"/>
        </w:rPr>
        <w:t xml:space="preserve"> 16S rRNA gene (Graham et al., 2007), and the </w:t>
      </w:r>
      <w:r w:rsidRPr="004874B3">
        <w:rPr>
          <w:rFonts w:ascii="Times New Roman" w:eastAsia="Times New Roman" w:hAnsi="Times New Roman" w:cs="Times New Roman"/>
          <w:i/>
          <w:iCs/>
          <w:sz w:val="24"/>
          <w:szCs w:val="24"/>
        </w:rPr>
        <w:t>Nitrospira</w:t>
      </w:r>
      <w:r w:rsidRPr="004874B3">
        <w:rPr>
          <w:rFonts w:ascii="Times New Roman" w:eastAsia="Times New Roman" w:hAnsi="Times New Roman" w:cs="Times New Roman"/>
          <w:sz w:val="24"/>
          <w:szCs w:val="24"/>
        </w:rPr>
        <w:t xml:space="preserve">-like comammox </w:t>
      </w:r>
      <w:r w:rsidRPr="004874B3">
        <w:rPr>
          <w:rFonts w:ascii="Times New Roman" w:eastAsia="Times New Roman" w:hAnsi="Times New Roman" w:cs="Times New Roman"/>
          <w:i/>
          <w:iCs/>
          <w:sz w:val="24"/>
          <w:szCs w:val="24"/>
        </w:rPr>
        <w:t>amoB</w:t>
      </w:r>
      <w:r w:rsidRPr="004874B3">
        <w:rPr>
          <w:rFonts w:ascii="Times New Roman" w:eastAsia="Times New Roman" w:hAnsi="Times New Roman" w:cs="Times New Roman"/>
          <w:sz w:val="24"/>
          <w:szCs w:val="24"/>
        </w:rPr>
        <w:t xml:space="preserve"> gene (Vilardi et al., 2022). In addition to overall AOB quantification via 16S rRNA genes, the metagenomic data revealed that all </w:t>
      </w:r>
      <w:r w:rsidRPr="004874B3">
        <w:rPr>
          <w:rFonts w:ascii="Times New Roman" w:eastAsia="Times New Roman" w:hAnsi="Times New Roman" w:cs="Times New Roman"/>
          <w:i/>
          <w:iCs/>
          <w:sz w:val="24"/>
          <w:szCs w:val="24"/>
        </w:rPr>
        <w:t>Nitrosomonas</w:t>
      </w:r>
      <w:r w:rsidRPr="004874B3">
        <w:rPr>
          <w:rFonts w:ascii="Times New Roman" w:eastAsia="Times New Roman" w:hAnsi="Times New Roman" w:cs="Times New Roman"/>
          <w:sz w:val="24"/>
          <w:szCs w:val="24"/>
        </w:rPr>
        <w:t xml:space="preserve"> MAGs belonged to </w:t>
      </w:r>
      <w:r w:rsidRPr="004874B3">
        <w:rPr>
          <w:rFonts w:ascii="Times New Roman" w:eastAsia="Times New Roman" w:hAnsi="Times New Roman" w:cs="Times New Roman"/>
          <w:i/>
          <w:iCs/>
          <w:sz w:val="24"/>
          <w:szCs w:val="24"/>
        </w:rPr>
        <w:t xml:space="preserve">Nitrosomonas </w:t>
      </w:r>
      <w:r w:rsidRPr="004874B3">
        <w:rPr>
          <w:rFonts w:ascii="Times New Roman" w:eastAsia="Times New Roman" w:hAnsi="Times New Roman" w:cs="Times New Roman"/>
          <w:sz w:val="24"/>
          <w:szCs w:val="24"/>
        </w:rPr>
        <w:t xml:space="preserve">cluster 6a. Consequently, this group was specifically targeted using the </w:t>
      </w:r>
      <w:r w:rsidRPr="004874B3">
        <w:rPr>
          <w:rFonts w:ascii="Times New Roman" w:eastAsia="Times New Roman" w:hAnsi="Times New Roman" w:cs="Times New Roman"/>
          <w:i/>
          <w:iCs/>
          <w:sz w:val="24"/>
          <w:szCs w:val="24"/>
        </w:rPr>
        <w:t>Nitrosomonas</w:t>
      </w:r>
      <w:r w:rsidRPr="004874B3">
        <w:rPr>
          <w:rFonts w:ascii="Times New Roman" w:eastAsia="Times New Roman" w:hAnsi="Times New Roman" w:cs="Times New Roman"/>
          <w:sz w:val="24"/>
          <w:szCs w:val="24"/>
        </w:rPr>
        <w:t xml:space="preserve"> cluster 6a </w:t>
      </w:r>
      <w:r w:rsidRPr="004874B3">
        <w:rPr>
          <w:rFonts w:ascii="Times New Roman" w:eastAsia="Times New Roman" w:hAnsi="Times New Roman" w:cs="Times New Roman"/>
          <w:i/>
          <w:iCs/>
          <w:sz w:val="24"/>
          <w:szCs w:val="24"/>
        </w:rPr>
        <w:t>amoA</w:t>
      </w:r>
      <w:r w:rsidRPr="004874B3">
        <w:rPr>
          <w:rFonts w:ascii="Times New Roman" w:eastAsia="Times New Roman" w:hAnsi="Times New Roman" w:cs="Times New Roman"/>
          <w:sz w:val="24"/>
          <w:szCs w:val="24"/>
        </w:rPr>
        <w:t xml:space="preserve"> gene primer set (Harms et al., 2003; </w:t>
      </w:r>
      <w:proofErr w:type="spellStart"/>
      <w:r w:rsidRPr="004874B3">
        <w:rPr>
          <w:rFonts w:ascii="Times New Roman" w:eastAsia="Times New Roman" w:hAnsi="Times New Roman" w:cs="Times New Roman"/>
          <w:sz w:val="24"/>
          <w:szCs w:val="24"/>
        </w:rPr>
        <w:t>Orschler</w:t>
      </w:r>
      <w:proofErr w:type="spellEnd"/>
      <w:r w:rsidRPr="004874B3">
        <w:rPr>
          <w:rFonts w:ascii="Times New Roman" w:eastAsia="Times New Roman" w:hAnsi="Times New Roman" w:cs="Times New Roman"/>
          <w:sz w:val="24"/>
          <w:szCs w:val="24"/>
        </w:rPr>
        <w:t xml:space="preserve"> et al., 2020) (Table S3). Further, all </w:t>
      </w:r>
      <w:r w:rsidRPr="004874B3">
        <w:rPr>
          <w:rFonts w:ascii="Times New Roman" w:eastAsia="Times New Roman" w:hAnsi="Times New Roman" w:cs="Times New Roman"/>
          <w:i/>
          <w:iCs/>
          <w:sz w:val="24"/>
          <w:szCs w:val="24"/>
        </w:rPr>
        <w:t>amoA</w:t>
      </w:r>
      <w:r w:rsidRPr="004874B3">
        <w:rPr>
          <w:rFonts w:ascii="Times New Roman" w:eastAsia="Times New Roman" w:hAnsi="Times New Roman" w:cs="Times New Roman"/>
          <w:sz w:val="24"/>
          <w:szCs w:val="24"/>
        </w:rPr>
        <w:t xml:space="preserve"> genes identified within the metagenomic dataset were subjected to phylogenetic analysis together with other </w:t>
      </w:r>
      <w:proofErr w:type="spellStart"/>
      <w:r w:rsidRPr="004874B3">
        <w:rPr>
          <w:rFonts w:ascii="Times New Roman" w:eastAsia="Times New Roman" w:hAnsi="Times New Roman" w:cs="Times New Roman"/>
          <w:sz w:val="24"/>
          <w:szCs w:val="24"/>
        </w:rPr>
        <w:t>betaproteobacterial</w:t>
      </w:r>
      <w:proofErr w:type="spellEnd"/>
      <w:r w:rsidRPr="004874B3">
        <w:rPr>
          <w:rFonts w:ascii="Times New Roman" w:eastAsia="Times New Roman" w:hAnsi="Times New Roman" w:cs="Times New Roman"/>
          <w:sz w:val="24"/>
          <w:szCs w:val="24"/>
        </w:rPr>
        <w:t xml:space="preserve"> AOB and </w:t>
      </w:r>
      <w:proofErr w:type="spellStart"/>
      <w:r w:rsidRPr="004874B3">
        <w:rPr>
          <w:rFonts w:ascii="Times New Roman" w:eastAsia="Times New Roman" w:hAnsi="Times New Roman" w:cs="Times New Roman"/>
          <w:sz w:val="24"/>
          <w:szCs w:val="24"/>
        </w:rPr>
        <w:t>comammox</w:t>
      </w:r>
      <w:proofErr w:type="spellEnd"/>
      <w:r w:rsidRPr="004874B3">
        <w:rPr>
          <w:rFonts w:ascii="Times New Roman" w:eastAsia="Times New Roman" w:hAnsi="Times New Roman" w:cs="Times New Roman"/>
          <w:sz w:val="24"/>
          <w:szCs w:val="24"/>
        </w:rPr>
        <w:t xml:space="preserve"> </w:t>
      </w:r>
      <w:r w:rsidRPr="004874B3">
        <w:rPr>
          <w:rFonts w:ascii="Times New Roman" w:eastAsia="Times New Roman" w:hAnsi="Times New Roman" w:cs="Times New Roman"/>
          <w:i/>
          <w:iCs/>
          <w:sz w:val="24"/>
          <w:szCs w:val="24"/>
        </w:rPr>
        <w:t>amoA</w:t>
      </w:r>
      <w:r w:rsidRPr="004874B3">
        <w:rPr>
          <w:rFonts w:ascii="Times New Roman" w:eastAsia="Times New Roman" w:hAnsi="Times New Roman" w:cs="Times New Roman"/>
          <w:sz w:val="24"/>
          <w:szCs w:val="24"/>
        </w:rPr>
        <w:t xml:space="preserve"> gene reference sequences (Fig. S4). It was confirmed that all </w:t>
      </w:r>
      <w:r w:rsidRPr="004874B3">
        <w:rPr>
          <w:rFonts w:ascii="Times New Roman" w:eastAsia="Times New Roman" w:hAnsi="Times New Roman" w:cs="Times New Roman"/>
          <w:i/>
          <w:iCs/>
          <w:sz w:val="24"/>
          <w:szCs w:val="24"/>
        </w:rPr>
        <w:t>amoA</w:t>
      </w:r>
      <w:r w:rsidRPr="004874B3">
        <w:rPr>
          <w:rFonts w:ascii="Times New Roman" w:eastAsia="Times New Roman" w:hAnsi="Times New Roman" w:cs="Times New Roman"/>
          <w:sz w:val="24"/>
          <w:szCs w:val="24"/>
        </w:rPr>
        <w:t xml:space="preserve"> contigs grouped closely within </w:t>
      </w:r>
      <w:r w:rsidRPr="004874B3">
        <w:rPr>
          <w:rFonts w:ascii="Times New Roman" w:eastAsia="Times New Roman" w:hAnsi="Times New Roman" w:cs="Times New Roman"/>
          <w:i/>
          <w:iCs/>
          <w:sz w:val="24"/>
          <w:szCs w:val="24"/>
        </w:rPr>
        <w:t>Nitrosomonas</w:t>
      </w:r>
      <w:r w:rsidRPr="004874B3">
        <w:rPr>
          <w:rFonts w:ascii="Times New Roman" w:eastAsia="Times New Roman" w:hAnsi="Times New Roman" w:cs="Times New Roman"/>
          <w:sz w:val="24"/>
          <w:szCs w:val="24"/>
        </w:rPr>
        <w:t xml:space="preserve"> cluster 6a, alongside </w:t>
      </w:r>
      <w:r w:rsidRPr="004874B3">
        <w:rPr>
          <w:rFonts w:ascii="Times New Roman" w:eastAsia="Times New Roman" w:hAnsi="Times New Roman" w:cs="Times New Roman"/>
          <w:i/>
          <w:iCs/>
          <w:sz w:val="24"/>
          <w:szCs w:val="24"/>
        </w:rPr>
        <w:t xml:space="preserve">Nitrosomonas </w:t>
      </w:r>
      <w:proofErr w:type="spellStart"/>
      <w:r w:rsidRPr="004874B3">
        <w:rPr>
          <w:rFonts w:ascii="Times New Roman" w:eastAsia="Times New Roman" w:hAnsi="Times New Roman" w:cs="Times New Roman"/>
          <w:i/>
          <w:iCs/>
          <w:sz w:val="24"/>
          <w:szCs w:val="24"/>
        </w:rPr>
        <w:t>oligotropha</w:t>
      </w:r>
      <w:proofErr w:type="spellEnd"/>
      <w:r w:rsidRPr="004874B3">
        <w:rPr>
          <w:rFonts w:ascii="Times New Roman" w:eastAsia="Times New Roman" w:hAnsi="Times New Roman" w:cs="Times New Roman"/>
          <w:i/>
          <w:iCs/>
          <w:sz w:val="24"/>
          <w:szCs w:val="24"/>
        </w:rPr>
        <w:t xml:space="preserve"> </w:t>
      </w:r>
      <w:r w:rsidRPr="004874B3">
        <w:rPr>
          <w:rFonts w:ascii="Times New Roman" w:eastAsia="Times New Roman" w:hAnsi="Times New Roman" w:cs="Times New Roman"/>
          <w:sz w:val="24"/>
          <w:szCs w:val="24"/>
        </w:rPr>
        <w:t xml:space="preserve">and </w:t>
      </w:r>
      <w:r w:rsidRPr="004874B3">
        <w:rPr>
          <w:rFonts w:ascii="Times New Roman" w:eastAsia="Times New Roman" w:hAnsi="Times New Roman" w:cs="Times New Roman"/>
          <w:i/>
          <w:iCs/>
          <w:sz w:val="24"/>
          <w:szCs w:val="24"/>
        </w:rPr>
        <w:t xml:space="preserve">Nitrosomonas </w:t>
      </w:r>
      <w:proofErr w:type="spellStart"/>
      <w:r w:rsidRPr="004874B3">
        <w:rPr>
          <w:rFonts w:ascii="Times New Roman" w:eastAsia="Times New Roman" w:hAnsi="Times New Roman" w:cs="Times New Roman"/>
          <w:sz w:val="24"/>
          <w:szCs w:val="24"/>
        </w:rPr>
        <w:t>sp</w:t>
      </w:r>
      <w:proofErr w:type="spellEnd"/>
      <w:r w:rsidRPr="004874B3">
        <w:rPr>
          <w:rFonts w:ascii="Times New Roman" w:eastAsia="Times New Roman" w:hAnsi="Times New Roman" w:cs="Times New Roman"/>
          <w:sz w:val="24"/>
          <w:szCs w:val="24"/>
        </w:rPr>
        <w:t xml:space="preserve"> Is79A3</w:t>
      </w:r>
      <w:r w:rsidRPr="004874B3">
        <w:rPr>
          <w:rFonts w:ascii="Times New Roman" w:eastAsia="Times New Roman" w:hAnsi="Times New Roman" w:cs="Times New Roman"/>
          <w:i/>
          <w:iCs/>
          <w:sz w:val="24"/>
          <w:szCs w:val="24"/>
        </w:rPr>
        <w:t xml:space="preserve">, </w:t>
      </w:r>
      <w:r w:rsidRPr="004874B3">
        <w:rPr>
          <w:rFonts w:ascii="Times New Roman" w:eastAsia="Times New Roman" w:hAnsi="Times New Roman" w:cs="Times New Roman"/>
          <w:sz w:val="24"/>
          <w:szCs w:val="24"/>
        </w:rPr>
        <w:t xml:space="preserve">except for those associated with comammox bacteria. To confirm that the </w:t>
      </w:r>
      <w:r w:rsidRPr="004874B3">
        <w:rPr>
          <w:rFonts w:ascii="Times New Roman" w:eastAsia="Times New Roman" w:hAnsi="Times New Roman" w:cs="Times New Roman"/>
          <w:i/>
          <w:iCs/>
          <w:sz w:val="24"/>
          <w:szCs w:val="24"/>
        </w:rPr>
        <w:t xml:space="preserve">amoA </w:t>
      </w:r>
      <w:r w:rsidRPr="004874B3">
        <w:rPr>
          <w:rFonts w:ascii="Times New Roman" w:eastAsia="Times New Roman" w:hAnsi="Times New Roman" w:cs="Times New Roman"/>
          <w:sz w:val="24"/>
          <w:szCs w:val="24"/>
        </w:rPr>
        <w:t xml:space="preserve">primers bound to the expected gene regions, the primer sequences were aligned to the </w:t>
      </w:r>
      <w:r w:rsidRPr="004874B3">
        <w:rPr>
          <w:rFonts w:ascii="Times New Roman" w:eastAsia="Times New Roman" w:hAnsi="Times New Roman" w:cs="Times New Roman"/>
          <w:i/>
          <w:iCs/>
          <w:sz w:val="24"/>
          <w:szCs w:val="24"/>
        </w:rPr>
        <w:t>amoA</w:t>
      </w:r>
      <w:r w:rsidRPr="004874B3">
        <w:rPr>
          <w:rFonts w:ascii="Times New Roman" w:eastAsia="Times New Roman" w:hAnsi="Times New Roman" w:cs="Times New Roman"/>
          <w:sz w:val="24"/>
          <w:szCs w:val="24"/>
        </w:rPr>
        <w:t xml:space="preserve"> contigs. Primer binding sites were found within the </w:t>
      </w:r>
      <w:r w:rsidRPr="004874B3">
        <w:rPr>
          <w:rFonts w:ascii="Times New Roman" w:eastAsia="Times New Roman" w:hAnsi="Times New Roman" w:cs="Times New Roman"/>
          <w:i/>
          <w:iCs/>
          <w:sz w:val="24"/>
          <w:szCs w:val="24"/>
        </w:rPr>
        <w:t>amoA</w:t>
      </w:r>
      <w:r w:rsidRPr="004874B3">
        <w:rPr>
          <w:rFonts w:ascii="Times New Roman" w:eastAsia="Times New Roman" w:hAnsi="Times New Roman" w:cs="Times New Roman"/>
          <w:sz w:val="24"/>
          <w:szCs w:val="24"/>
        </w:rPr>
        <w:t xml:space="preserve"> contigs, showing average percentage identities of 96.9%, 99.4%, and 99.4% for the forward, reverse primer, and probe, respectively, with the </w:t>
      </w:r>
      <w:r w:rsidRPr="004874B3">
        <w:rPr>
          <w:rFonts w:ascii="Times New Roman" w:eastAsia="Times New Roman" w:hAnsi="Times New Roman" w:cs="Times New Roman"/>
          <w:i/>
          <w:iCs/>
          <w:sz w:val="24"/>
          <w:szCs w:val="24"/>
        </w:rPr>
        <w:t>amoA</w:t>
      </w:r>
      <w:r w:rsidRPr="004874B3">
        <w:rPr>
          <w:rFonts w:ascii="Times New Roman" w:eastAsia="Times New Roman" w:hAnsi="Times New Roman" w:cs="Times New Roman"/>
          <w:sz w:val="24"/>
          <w:szCs w:val="24"/>
        </w:rPr>
        <w:t xml:space="preserve"> contigs (Fig. S5). Further, with the exception of MAG_097, the abundance of </w:t>
      </w:r>
      <w:r w:rsidRPr="004874B3">
        <w:rPr>
          <w:rFonts w:ascii="Times New Roman" w:eastAsia="Times New Roman" w:hAnsi="Times New Roman" w:cs="Times New Roman"/>
          <w:i/>
          <w:iCs/>
          <w:sz w:val="24"/>
          <w:szCs w:val="24"/>
        </w:rPr>
        <w:t>Nitrosomonas</w:t>
      </w:r>
      <w:r w:rsidRPr="004874B3">
        <w:rPr>
          <w:rFonts w:ascii="Times New Roman" w:eastAsia="Times New Roman" w:hAnsi="Times New Roman" w:cs="Times New Roman"/>
          <w:sz w:val="24"/>
          <w:szCs w:val="24"/>
        </w:rPr>
        <w:t xml:space="preserve"> MAGs positively correlated with the gene copy abundance of the </w:t>
      </w:r>
      <w:r w:rsidRPr="004874B3">
        <w:rPr>
          <w:rFonts w:ascii="Times New Roman" w:eastAsia="Times New Roman" w:hAnsi="Times New Roman" w:cs="Times New Roman"/>
          <w:i/>
          <w:iCs/>
          <w:sz w:val="24"/>
          <w:szCs w:val="24"/>
        </w:rPr>
        <w:t>amoA</w:t>
      </w:r>
      <w:r w:rsidRPr="004874B3">
        <w:rPr>
          <w:rFonts w:ascii="Times New Roman" w:eastAsia="Times New Roman" w:hAnsi="Times New Roman" w:cs="Times New Roman"/>
          <w:sz w:val="24"/>
          <w:szCs w:val="24"/>
        </w:rPr>
        <w:t xml:space="preserve"> gene (τ [Kendall rank correlation coefficient] = 0.52 to 0.58, p &lt; 0.001), indicating that </w:t>
      </w:r>
      <w:r w:rsidRPr="004874B3">
        <w:rPr>
          <w:rFonts w:ascii="Times New Roman" w:eastAsia="Times New Roman" w:hAnsi="Times New Roman" w:cs="Times New Roman"/>
          <w:i/>
          <w:iCs/>
          <w:sz w:val="24"/>
          <w:szCs w:val="24"/>
        </w:rPr>
        <w:t>amoA</w:t>
      </w:r>
      <w:r w:rsidRPr="004874B3">
        <w:rPr>
          <w:rFonts w:ascii="Times New Roman" w:eastAsia="Times New Roman" w:hAnsi="Times New Roman" w:cs="Times New Roman"/>
          <w:sz w:val="24"/>
          <w:szCs w:val="24"/>
        </w:rPr>
        <w:t xml:space="preserve"> gene abundances accurately reflected the abundance of </w:t>
      </w:r>
      <w:r w:rsidRPr="004874B3">
        <w:rPr>
          <w:rFonts w:ascii="Times New Roman" w:eastAsia="Times New Roman" w:hAnsi="Times New Roman" w:cs="Times New Roman"/>
          <w:i/>
          <w:iCs/>
          <w:sz w:val="24"/>
          <w:szCs w:val="24"/>
        </w:rPr>
        <w:t xml:space="preserve">Nitrosomonas </w:t>
      </w:r>
      <w:r w:rsidRPr="004874B3">
        <w:rPr>
          <w:rFonts w:ascii="Times New Roman" w:eastAsia="Times New Roman" w:hAnsi="Times New Roman" w:cs="Times New Roman"/>
          <w:sz w:val="24"/>
          <w:szCs w:val="24"/>
        </w:rPr>
        <w:t xml:space="preserve">MAGs (Fig. S6). </w:t>
      </w:r>
    </w:p>
    <w:p w14:paraId="6329649A" w14:textId="77777777" w:rsidR="0061647F" w:rsidRPr="004874B3" w:rsidRDefault="0061647F">
      <w:pPr>
        <w:spacing w:line="360" w:lineRule="auto"/>
        <w:jc w:val="both"/>
        <w:rPr>
          <w:rFonts w:ascii="Times New Roman" w:eastAsia="Times New Roman" w:hAnsi="Times New Roman" w:cs="Times New Roman"/>
          <w:sz w:val="24"/>
          <w:szCs w:val="24"/>
          <w:shd w:val="clear" w:color="auto" w:fill="FCE5CD"/>
        </w:rPr>
      </w:pPr>
    </w:p>
    <w:p w14:paraId="46054B9A" w14:textId="77777777" w:rsidR="0061647F" w:rsidRPr="004874B3" w:rsidRDefault="006D77AA">
      <w:pPr>
        <w:pStyle w:val="Heading2"/>
        <w:spacing w:after="0"/>
        <w:rPr>
          <w:sz w:val="24"/>
          <w:szCs w:val="24"/>
        </w:rPr>
      </w:pPr>
      <w:bookmarkStart w:id="6" w:name="_heading=h.c69ee5k4qov" w:colFirst="0" w:colLast="0"/>
      <w:bookmarkEnd w:id="6"/>
      <w:r w:rsidRPr="004874B3">
        <w:rPr>
          <w:sz w:val="24"/>
          <w:szCs w:val="24"/>
        </w:rPr>
        <w:t>References</w:t>
      </w:r>
    </w:p>
    <w:p w14:paraId="54321CC0" w14:textId="77777777" w:rsidR="0061647F" w:rsidRPr="004874B3" w:rsidRDefault="006D77AA">
      <w:pPr>
        <w:numPr>
          <w:ilvl w:val="0"/>
          <w:numId w:val="1"/>
        </w:numPr>
        <w:jc w:val="both"/>
        <w:rPr>
          <w:rFonts w:ascii="Times New Roman" w:eastAsia="Times New Roman" w:hAnsi="Times New Roman" w:cs="Times New Roman"/>
          <w:color w:val="222222"/>
          <w:sz w:val="20"/>
          <w:szCs w:val="20"/>
        </w:rPr>
      </w:pPr>
      <w:proofErr w:type="spellStart"/>
      <w:r w:rsidRPr="004874B3">
        <w:rPr>
          <w:rFonts w:ascii="Times New Roman" w:eastAsia="Times New Roman" w:hAnsi="Times New Roman" w:cs="Times New Roman"/>
          <w:color w:val="222222"/>
          <w:sz w:val="20"/>
          <w:szCs w:val="20"/>
          <w:highlight w:val="white"/>
        </w:rPr>
        <w:t>Alneberg</w:t>
      </w:r>
      <w:proofErr w:type="spellEnd"/>
      <w:r w:rsidRPr="004874B3">
        <w:rPr>
          <w:rFonts w:ascii="Times New Roman" w:eastAsia="Times New Roman" w:hAnsi="Times New Roman" w:cs="Times New Roman"/>
          <w:color w:val="222222"/>
          <w:sz w:val="20"/>
          <w:szCs w:val="20"/>
          <w:highlight w:val="white"/>
        </w:rPr>
        <w:t xml:space="preserve">, J., Bjarnason, B.S., de Bruijn, I., Schirmer, M., Quick, J., Ijaz, U.Z., Loman, N.J., Andersson, A.F. and Quince, C., 2013. CONCOCT: clustering contigs on coverage and composition. </w:t>
      </w:r>
      <w:proofErr w:type="spellStart"/>
      <w:r w:rsidRPr="004874B3">
        <w:rPr>
          <w:rFonts w:ascii="Times New Roman" w:eastAsia="Times New Roman" w:hAnsi="Times New Roman" w:cs="Times New Roman"/>
          <w:i/>
          <w:iCs/>
          <w:color w:val="222222"/>
          <w:sz w:val="20"/>
          <w:szCs w:val="20"/>
        </w:rPr>
        <w:t>arXiv</w:t>
      </w:r>
      <w:proofErr w:type="spellEnd"/>
      <w:r w:rsidRPr="004874B3">
        <w:rPr>
          <w:rFonts w:ascii="Times New Roman" w:eastAsia="Times New Roman" w:hAnsi="Times New Roman" w:cs="Times New Roman"/>
          <w:i/>
          <w:iCs/>
          <w:color w:val="222222"/>
          <w:sz w:val="20"/>
          <w:szCs w:val="20"/>
        </w:rPr>
        <w:t xml:space="preserve"> preprint arXiv:1312.4038</w:t>
      </w:r>
      <w:r w:rsidRPr="004874B3">
        <w:rPr>
          <w:rFonts w:ascii="Times New Roman" w:eastAsia="Times New Roman" w:hAnsi="Times New Roman" w:cs="Times New Roman"/>
          <w:color w:val="222222"/>
          <w:sz w:val="20"/>
          <w:szCs w:val="20"/>
        </w:rPr>
        <w:t>.</w:t>
      </w:r>
    </w:p>
    <w:p w14:paraId="2185C85F" w14:textId="77777777" w:rsidR="0061647F" w:rsidRPr="004874B3" w:rsidRDefault="006D77AA">
      <w:pPr>
        <w:numPr>
          <w:ilvl w:val="0"/>
          <w:numId w:val="1"/>
        </w:numPr>
        <w:jc w:val="both"/>
        <w:rPr>
          <w:rFonts w:ascii="Times New Roman" w:eastAsia="Times New Roman" w:hAnsi="Times New Roman" w:cs="Times New Roman"/>
          <w:color w:val="222222"/>
          <w:sz w:val="20"/>
          <w:szCs w:val="20"/>
        </w:rPr>
      </w:pPr>
      <w:r w:rsidRPr="004874B3">
        <w:rPr>
          <w:rFonts w:ascii="Times New Roman" w:eastAsia="Times New Roman" w:hAnsi="Times New Roman" w:cs="Times New Roman"/>
          <w:color w:val="222222"/>
          <w:sz w:val="20"/>
          <w:szCs w:val="20"/>
          <w:highlight w:val="white"/>
        </w:rPr>
        <w:t xml:space="preserve">Bowers, R.M., </w:t>
      </w:r>
      <w:proofErr w:type="spellStart"/>
      <w:r w:rsidRPr="004874B3">
        <w:rPr>
          <w:rFonts w:ascii="Times New Roman" w:eastAsia="Times New Roman" w:hAnsi="Times New Roman" w:cs="Times New Roman"/>
          <w:color w:val="222222"/>
          <w:sz w:val="20"/>
          <w:szCs w:val="20"/>
          <w:highlight w:val="white"/>
        </w:rPr>
        <w:t>Kyrpides</w:t>
      </w:r>
      <w:proofErr w:type="spellEnd"/>
      <w:r w:rsidRPr="004874B3">
        <w:rPr>
          <w:rFonts w:ascii="Times New Roman" w:eastAsia="Times New Roman" w:hAnsi="Times New Roman" w:cs="Times New Roman"/>
          <w:color w:val="222222"/>
          <w:sz w:val="20"/>
          <w:szCs w:val="20"/>
          <w:highlight w:val="white"/>
        </w:rPr>
        <w:t xml:space="preserve">, N.C., </w:t>
      </w:r>
      <w:proofErr w:type="spellStart"/>
      <w:r w:rsidRPr="004874B3">
        <w:rPr>
          <w:rFonts w:ascii="Times New Roman" w:eastAsia="Times New Roman" w:hAnsi="Times New Roman" w:cs="Times New Roman"/>
          <w:color w:val="222222"/>
          <w:sz w:val="20"/>
          <w:szCs w:val="20"/>
          <w:highlight w:val="white"/>
        </w:rPr>
        <w:t>Stepanauskas</w:t>
      </w:r>
      <w:proofErr w:type="spellEnd"/>
      <w:r w:rsidRPr="004874B3">
        <w:rPr>
          <w:rFonts w:ascii="Times New Roman" w:eastAsia="Times New Roman" w:hAnsi="Times New Roman" w:cs="Times New Roman"/>
          <w:color w:val="222222"/>
          <w:sz w:val="20"/>
          <w:szCs w:val="20"/>
          <w:highlight w:val="white"/>
        </w:rPr>
        <w:t xml:space="preserve">, R., Harmon-Smith, M., Doud, D., Reddy, T.B.K., Schulz, F., Jarett, J., Rivers, A.R., </w:t>
      </w:r>
      <w:proofErr w:type="spellStart"/>
      <w:r w:rsidRPr="004874B3">
        <w:rPr>
          <w:rFonts w:ascii="Times New Roman" w:eastAsia="Times New Roman" w:hAnsi="Times New Roman" w:cs="Times New Roman"/>
          <w:color w:val="222222"/>
          <w:sz w:val="20"/>
          <w:szCs w:val="20"/>
          <w:highlight w:val="white"/>
        </w:rPr>
        <w:t>Eloe-Fadrosh</w:t>
      </w:r>
      <w:proofErr w:type="spellEnd"/>
      <w:r w:rsidRPr="004874B3">
        <w:rPr>
          <w:rFonts w:ascii="Times New Roman" w:eastAsia="Times New Roman" w:hAnsi="Times New Roman" w:cs="Times New Roman"/>
          <w:color w:val="222222"/>
          <w:sz w:val="20"/>
          <w:szCs w:val="20"/>
          <w:highlight w:val="white"/>
        </w:rPr>
        <w:t xml:space="preserve">, E.A. and </w:t>
      </w:r>
      <w:proofErr w:type="spellStart"/>
      <w:r w:rsidRPr="004874B3">
        <w:rPr>
          <w:rFonts w:ascii="Times New Roman" w:eastAsia="Times New Roman" w:hAnsi="Times New Roman" w:cs="Times New Roman"/>
          <w:color w:val="222222"/>
          <w:sz w:val="20"/>
          <w:szCs w:val="20"/>
          <w:highlight w:val="white"/>
        </w:rPr>
        <w:t>Tringe</w:t>
      </w:r>
      <w:proofErr w:type="spellEnd"/>
      <w:r w:rsidRPr="004874B3">
        <w:rPr>
          <w:rFonts w:ascii="Times New Roman" w:eastAsia="Times New Roman" w:hAnsi="Times New Roman" w:cs="Times New Roman"/>
          <w:color w:val="222222"/>
          <w:sz w:val="20"/>
          <w:szCs w:val="20"/>
          <w:highlight w:val="white"/>
        </w:rPr>
        <w:t>, S.G., 2017. Minimum information about a single amplified genome (MISAG) and a metagenome-assembled genome (MIMAG) of bacteria and archaea. Nature biotechnology, 35(8), pp.725-731.</w:t>
      </w:r>
    </w:p>
    <w:p w14:paraId="24649717" w14:textId="77777777" w:rsidR="0061647F" w:rsidRPr="004874B3" w:rsidRDefault="006D77AA">
      <w:pPr>
        <w:numPr>
          <w:ilvl w:val="0"/>
          <w:numId w:val="1"/>
        </w:numPr>
        <w:jc w:val="both"/>
        <w:rPr>
          <w:rFonts w:ascii="Times New Roman" w:eastAsia="Times New Roman" w:hAnsi="Times New Roman" w:cs="Times New Roman"/>
          <w:color w:val="222222"/>
          <w:sz w:val="20"/>
          <w:szCs w:val="20"/>
        </w:rPr>
      </w:pPr>
      <w:proofErr w:type="spellStart"/>
      <w:r w:rsidRPr="004874B3">
        <w:rPr>
          <w:rFonts w:ascii="Times New Roman" w:eastAsia="Times New Roman" w:hAnsi="Times New Roman" w:cs="Times New Roman"/>
          <w:color w:val="222222"/>
          <w:sz w:val="20"/>
          <w:szCs w:val="20"/>
          <w:highlight w:val="white"/>
        </w:rPr>
        <w:t>Chaumeil</w:t>
      </w:r>
      <w:proofErr w:type="spellEnd"/>
      <w:r w:rsidRPr="004874B3">
        <w:rPr>
          <w:rFonts w:ascii="Times New Roman" w:eastAsia="Times New Roman" w:hAnsi="Times New Roman" w:cs="Times New Roman"/>
          <w:color w:val="222222"/>
          <w:sz w:val="20"/>
          <w:szCs w:val="20"/>
          <w:highlight w:val="white"/>
        </w:rPr>
        <w:t xml:space="preserve">, P.A., </w:t>
      </w:r>
      <w:proofErr w:type="spellStart"/>
      <w:r w:rsidRPr="004874B3">
        <w:rPr>
          <w:rFonts w:ascii="Times New Roman" w:eastAsia="Times New Roman" w:hAnsi="Times New Roman" w:cs="Times New Roman"/>
          <w:color w:val="222222"/>
          <w:sz w:val="20"/>
          <w:szCs w:val="20"/>
          <w:highlight w:val="white"/>
        </w:rPr>
        <w:t>Mussig</w:t>
      </w:r>
      <w:proofErr w:type="spellEnd"/>
      <w:r w:rsidRPr="004874B3">
        <w:rPr>
          <w:rFonts w:ascii="Times New Roman" w:eastAsia="Times New Roman" w:hAnsi="Times New Roman" w:cs="Times New Roman"/>
          <w:color w:val="222222"/>
          <w:sz w:val="20"/>
          <w:szCs w:val="20"/>
          <w:highlight w:val="white"/>
        </w:rPr>
        <w:t xml:space="preserve">, A.J., </w:t>
      </w:r>
      <w:proofErr w:type="spellStart"/>
      <w:r w:rsidRPr="004874B3">
        <w:rPr>
          <w:rFonts w:ascii="Times New Roman" w:eastAsia="Times New Roman" w:hAnsi="Times New Roman" w:cs="Times New Roman"/>
          <w:color w:val="222222"/>
          <w:sz w:val="20"/>
          <w:szCs w:val="20"/>
          <w:highlight w:val="white"/>
        </w:rPr>
        <w:t>Hugenholtz</w:t>
      </w:r>
      <w:proofErr w:type="spellEnd"/>
      <w:r w:rsidRPr="004874B3">
        <w:rPr>
          <w:rFonts w:ascii="Times New Roman" w:eastAsia="Times New Roman" w:hAnsi="Times New Roman" w:cs="Times New Roman"/>
          <w:color w:val="222222"/>
          <w:sz w:val="20"/>
          <w:szCs w:val="20"/>
          <w:highlight w:val="white"/>
        </w:rPr>
        <w:t>, P. and Parks, D.H., 2020. GTDB-Tk: a toolkit to classify genomes with the Genome Taxonomy Database.</w:t>
      </w:r>
    </w:p>
    <w:p w14:paraId="42051822" w14:textId="77777777" w:rsidR="0061647F" w:rsidRPr="004874B3" w:rsidRDefault="006D77AA">
      <w:pPr>
        <w:numPr>
          <w:ilvl w:val="0"/>
          <w:numId w:val="1"/>
        </w:numPr>
        <w:jc w:val="both"/>
        <w:rPr>
          <w:rFonts w:ascii="Times New Roman" w:eastAsia="Times New Roman" w:hAnsi="Times New Roman" w:cs="Times New Roman"/>
          <w:color w:val="222222"/>
          <w:sz w:val="20"/>
          <w:szCs w:val="20"/>
        </w:rPr>
      </w:pPr>
      <w:r w:rsidRPr="004874B3">
        <w:rPr>
          <w:rFonts w:ascii="Times New Roman" w:eastAsia="Times New Roman" w:hAnsi="Times New Roman" w:cs="Times New Roman"/>
          <w:color w:val="222222"/>
          <w:sz w:val="20"/>
          <w:szCs w:val="20"/>
        </w:rPr>
        <w:t xml:space="preserve">Chen, S., Zhou, Y., Chen, Y., Gu, J. 2018. </w:t>
      </w:r>
      <w:proofErr w:type="spellStart"/>
      <w:r w:rsidRPr="004874B3">
        <w:rPr>
          <w:rFonts w:ascii="Times New Roman" w:eastAsia="Times New Roman" w:hAnsi="Times New Roman" w:cs="Times New Roman"/>
          <w:color w:val="222222"/>
          <w:sz w:val="20"/>
          <w:szCs w:val="20"/>
        </w:rPr>
        <w:t>Fastp</w:t>
      </w:r>
      <w:proofErr w:type="spellEnd"/>
      <w:r w:rsidRPr="004874B3">
        <w:rPr>
          <w:rFonts w:ascii="Times New Roman" w:eastAsia="Times New Roman" w:hAnsi="Times New Roman" w:cs="Times New Roman"/>
          <w:color w:val="222222"/>
          <w:sz w:val="20"/>
          <w:szCs w:val="20"/>
        </w:rPr>
        <w:t>: An ultra-fast all-in-one FASTQ preprocessor, p. i884–i890. In Bioinformatics. Oxford University Press.</w:t>
      </w:r>
    </w:p>
    <w:p w14:paraId="587BB4D4" w14:textId="77777777" w:rsidR="0061647F" w:rsidRPr="004874B3" w:rsidRDefault="006D77AA">
      <w:pPr>
        <w:numPr>
          <w:ilvl w:val="0"/>
          <w:numId w:val="1"/>
        </w:numPr>
        <w:jc w:val="both"/>
        <w:rPr>
          <w:rFonts w:ascii="Times New Roman" w:eastAsia="Times New Roman" w:hAnsi="Times New Roman" w:cs="Times New Roman"/>
          <w:color w:val="222222"/>
          <w:sz w:val="20"/>
          <w:szCs w:val="20"/>
        </w:rPr>
      </w:pPr>
      <w:r w:rsidRPr="004874B3">
        <w:rPr>
          <w:rFonts w:ascii="Times New Roman" w:eastAsia="Times New Roman" w:hAnsi="Times New Roman" w:cs="Times New Roman"/>
          <w:color w:val="222222"/>
          <w:sz w:val="20"/>
          <w:szCs w:val="20"/>
          <w:highlight w:val="white"/>
        </w:rPr>
        <w:t xml:space="preserve">Eren, A.M., Esen, Ö.C., Quince, C., </w:t>
      </w:r>
      <w:proofErr w:type="spellStart"/>
      <w:r w:rsidRPr="004874B3">
        <w:rPr>
          <w:rFonts w:ascii="Times New Roman" w:eastAsia="Times New Roman" w:hAnsi="Times New Roman" w:cs="Times New Roman"/>
          <w:color w:val="222222"/>
          <w:sz w:val="20"/>
          <w:szCs w:val="20"/>
          <w:highlight w:val="white"/>
        </w:rPr>
        <w:t>Vineis</w:t>
      </w:r>
      <w:proofErr w:type="spellEnd"/>
      <w:r w:rsidRPr="004874B3">
        <w:rPr>
          <w:rFonts w:ascii="Times New Roman" w:eastAsia="Times New Roman" w:hAnsi="Times New Roman" w:cs="Times New Roman"/>
          <w:color w:val="222222"/>
          <w:sz w:val="20"/>
          <w:szCs w:val="20"/>
          <w:highlight w:val="white"/>
        </w:rPr>
        <w:t xml:space="preserve">, J.H., Morrison, H.G., </w:t>
      </w:r>
      <w:proofErr w:type="spellStart"/>
      <w:r w:rsidRPr="004874B3">
        <w:rPr>
          <w:rFonts w:ascii="Times New Roman" w:eastAsia="Times New Roman" w:hAnsi="Times New Roman" w:cs="Times New Roman"/>
          <w:color w:val="222222"/>
          <w:sz w:val="20"/>
          <w:szCs w:val="20"/>
          <w:highlight w:val="white"/>
        </w:rPr>
        <w:t>Sogin</w:t>
      </w:r>
      <w:proofErr w:type="spellEnd"/>
      <w:r w:rsidRPr="004874B3">
        <w:rPr>
          <w:rFonts w:ascii="Times New Roman" w:eastAsia="Times New Roman" w:hAnsi="Times New Roman" w:cs="Times New Roman"/>
          <w:color w:val="222222"/>
          <w:sz w:val="20"/>
          <w:szCs w:val="20"/>
          <w:highlight w:val="white"/>
        </w:rPr>
        <w:t xml:space="preserve">, M.L. and Delmont, T.O., 2015. Anvi’o: an advanced analysis and visualization platform for ‘omics data. </w:t>
      </w:r>
      <w:proofErr w:type="spellStart"/>
      <w:r w:rsidRPr="004874B3">
        <w:rPr>
          <w:rFonts w:ascii="Times New Roman" w:eastAsia="Times New Roman" w:hAnsi="Times New Roman" w:cs="Times New Roman"/>
          <w:i/>
          <w:iCs/>
          <w:color w:val="222222"/>
          <w:sz w:val="20"/>
          <w:szCs w:val="20"/>
        </w:rPr>
        <w:t>PeerJ</w:t>
      </w:r>
      <w:proofErr w:type="spellEnd"/>
      <w:r w:rsidRPr="004874B3">
        <w:rPr>
          <w:rFonts w:ascii="Times New Roman" w:eastAsia="Times New Roman" w:hAnsi="Times New Roman" w:cs="Times New Roman"/>
          <w:color w:val="222222"/>
          <w:sz w:val="20"/>
          <w:szCs w:val="20"/>
        </w:rPr>
        <w:t xml:space="preserve">, </w:t>
      </w:r>
      <w:r w:rsidRPr="004874B3">
        <w:rPr>
          <w:rFonts w:ascii="Times New Roman" w:eastAsia="Times New Roman" w:hAnsi="Times New Roman" w:cs="Times New Roman"/>
          <w:i/>
          <w:iCs/>
          <w:color w:val="222222"/>
          <w:sz w:val="20"/>
          <w:szCs w:val="20"/>
        </w:rPr>
        <w:t>3</w:t>
      </w:r>
      <w:r w:rsidRPr="004874B3">
        <w:rPr>
          <w:rFonts w:ascii="Times New Roman" w:eastAsia="Times New Roman" w:hAnsi="Times New Roman" w:cs="Times New Roman"/>
          <w:color w:val="222222"/>
          <w:sz w:val="20"/>
          <w:szCs w:val="20"/>
        </w:rPr>
        <w:t>, p.e1319.</w:t>
      </w:r>
    </w:p>
    <w:p w14:paraId="1CD5191C" w14:textId="77777777" w:rsidR="0061647F" w:rsidRPr="004874B3" w:rsidRDefault="006D77AA">
      <w:pPr>
        <w:numPr>
          <w:ilvl w:val="0"/>
          <w:numId w:val="1"/>
        </w:numPr>
        <w:jc w:val="both"/>
        <w:rPr>
          <w:rFonts w:ascii="Times New Roman" w:eastAsia="Times New Roman" w:hAnsi="Times New Roman" w:cs="Times New Roman"/>
          <w:color w:val="222222"/>
          <w:sz w:val="20"/>
          <w:szCs w:val="20"/>
        </w:rPr>
      </w:pPr>
      <w:r w:rsidRPr="004874B3">
        <w:rPr>
          <w:rFonts w:ascii="Times New Roman" w:eastAsia="Times New Roman" w:hAnsi="Times New Roman" w:cs="Times New Roman"/>
          <w:color w:val="222222"/>
          <w:sz w:val="20"/>
          <w:szCs w:val="20"/>
          <w:highlight w:val="white"/>
        </w:rPr>
        <w:t>Graham, C.E., 2007. Experimental demonstration of chaotic instability in biological nitrification. The ISME journal, 1(5), pp.385-393.</w:t>
      </w:r>
    </w:p>
    <w:p w14:paraId="363116D2" w14:textId="77777777" w:rsidR="0061647F" w:rsidRPr="004874B3" w:rsidRDefault="006D77AA">
      <w:pPr>
        <w:numPr>
          <w:ilvl w:val="0"/>
          <w:numId w:val="1"/>
        </w:numPr>
        <w:jc w:val="both"/>
        <w:rPr>
          <w:rFonts w:ascii="Times New Roman" w:eastAsia="Times New Roman" w:hAnsi="Times New Roman" w:cs="Times New Roman"/>
          <w:color w:val="222222"/>
          <w:sz w:val="20"/>
          <w:szCs w:val="20"/>
        </w:rPr>
      </w:pPr>
      <w:r w:rsidRPr="004874B3">
        <w:rPr>
          <w:rFonts w:ascii="Times New Roman" w:eastAsia="Times New Roman" w:hAnsi="Times New Roman" w:cs="Times New Roman"/>
          <w:color w:val="222222"/>
          <w:sz w:val="20"/>
          <w:szCs w:val="20"/>
          <w:highlight w:val="white"/>
        </w:rPr>
        <w:lastRenderedPageBreak/>
        <w:t xml:space="preserve">Gurevich, A., Saveliev, V., </w:t>
      </w:r>
      <w:proofErr w:type="spellStart"/>
      <w:r w:rsidRPr="004874B3">
        <w:rPr>
          <w:rFonts w:ascii="Times New Roman" w:eastAsia="Times New Roman" w:hAnsi="Times New Roman" w:cs="Times New Roman"/>
          <w:color w:val="222222"/>
          <w:sz w:val="20"/>
          <w:szCs w:val="20"/>
          <w:highlight w:val="white"/>
        </w:rPr>
        <w:t>Vyahhi</w:t>
      </w:r>
      <w:proofErr w:type="spellEnd"/>
      <w:r w:rsidRPr="004874B3">
        <w:rPr>
          <w:rFonts w:ascii="Times New Roman" w:eastAsia="Times New Roman" w:hAnsi="Times New Roman" w:cs="Times New Roman"/>
          <w:color w:val="222222"/>
          <w:sz w:val="20"/>
          <w:szCs w:val="20"/>
          <w:highlight w:val="white"/>
        </w:rPr>
        <w:t>, N. and Tesler, G., 2013. QUAST: quality assessment tool for genome assemblies. Bioinformatics, 29(8), pp.1072-1075.</w:t>
      </w:r>
    </w:p>
    <w:p w14:paraId="1445535A" w14:textId="77777777" w:rsidR="0061647F" w:rsidRPr="004874B3" w:rsidRDefault="006D77AA">
      <w:pPr>
        <w:numPr>
          <w:ilvl w:val="0"/>
          <w:numId w:val="1"/>
        </w:numPr>
        <w:jc w:val="both"/>
        <w:rPr>
          <w:rFonts w:ascii="Times New Roman" w:eastAsia="Times New Roman" w:hAnsi="Times New Roman" w:cs="Times New Roman"/>
          <w:color w:val="222222"/>
          <w:sz w:val="20"/>
          <w:szCs w:val="20"/>
        </w:rPr>
      </w:pPr>
      <w:r w:rsidRPr="004874B3">
        <w:rPr>
          <w:rFonts w:ascii="Times New Roman" w:eastAsia="Times New Roman" w:hAnsi="Times New Roman" w:cs="Times New Roman"/>
          <w:color w:val="222222"/>
          <w:sz w:val="20"/>
          <w:szCs w:val="20"/>
          <w:highlight w:val="white"/>
        </w:rPr>
        <w:t>Hermansson, A. and Lindgren, P.E., 2001. Quantification of ammonia-oxidizing bacteria in arable soil by real-time PCR. Applied and environmental microbiology, 67(2), pp.972-976.</w:t>
      </w:r>
    </w:p>
    <w:p w14:paraId="429B6E19" w14:textId="77777777" w:rsidR="0061647F" w:rsidRPr="004874B3" w:rsidRDefault="006D77AA">
      <w:pPr>
        <w:numPr>
          <w:ilvl w:val="0"/>
          <w:numId w:val="1"/>
        </w:numPr>
        <w:jc w:val="both"/>
        <w:rPr>
          <w:rFonts w:ascii="Times New Roman" w:eastAsia="Times New Roman" w:hAnsi="Times New Roman" w:cs="Times New Roman"/>
          <w:color w:val="222222"/>
          <w:sz w:val="20"/>
          <w:szCs w:val="20"/>
        </w:rPr>
      </w:pPr>
      <w:proofErr w:type="spellStart"/>
      <w:r w:rsidRPr="004874B3">
        <w:rPr>
          <w:rFonts w:ascii="Times New Roman" w:eastAsia="Times New Roman" w:hAnsi="Times New Roman" w:cs="Times New Roman"/>
          <w:color w:val="222222"/>
          <w:sz w:val="20"/>
          <w:szCs w:val="20"/>
          <w:highlight w:val="white"/>
        </w:rPr>
        <w:t>Kanehisa</w:t>
      </w:r>
      <w:proofErr w:type="spellEnd"/>
      <w:r w:rsidRPr="004874B3">
        <w:rPr>
          <w:rFonts w:ascii="Times New Roman" w:eastAsia="Times New Roman" w:hAnsi="Times New Roman" w:cs="Times New Roman"/>
          <w:color w:val="222222"/>
          <w:sz w:val="20"/>
          <w:szCs w:val="20"/>
          <w:highlight w:val="white"/>
        </w:rPr>
        <w:t xml:space="preserve">, M. and Goto, S., 2000. KEGG: </w:t>
      </w:r>
      <w:proofErr w:type="spellStart"/>
      <w:r w:rsidRPr="004874B3">
        <w:rPr>
          <w:rFonts w:ascii="Times New Roman" w:eastAsia="Times New Roman" w:hAnsi="Times New Roman" w:cs="Times New Roman"/>
          <w:color w:val="222222"/>
          <w:sz w:val="20"/>
          <w:szCs w:val="20"/>
          <w:highlight w:val="white"/>
        </w:rPr>
        <w:t>kyoto</w:t>
      </w:r>
      <w:proofErr w:type="spellEnd"/>
      <w:r w:rsidRPr="004874B3">
        <w:rPr>
          <w:rFonts w:ascii="Times New Roman" w:eastAsia="Times New Roman" w:hAnsi="Times New Roman" w:cs="Times New Roman"/>
          <w:color w:val="222222"/>
          <w:sz w:val="20"/>
          <w:szCs w:val="20"/>
          <w:highlight w:val="white"/>
        </w:rPr>
        <w:t xml:space="preserve"> encyclopedia of genes and genomes. </w:t>
      </w:r>
      <w:r w:rsidRPr="004874B3">
        <w:rPr>
          <w:rFonts w:ascii="Times New Roman" w:eastAsia="Times New Roman" w:hAnsi="Times New Roman" w:cs="Times New Roman"/>
          <w:i/>
          <w:iCs/>
          <w:color w:val="222222"/>
          <w:sz w:val="20"/>
          <w:szCs w:val="20"/>
        </w:rPr>
        <w:t>Nucleic acids research</w:t>
      </w:r>
      <w:r w:rsidRPr="004874B3">
        <w:rPr>
          <w:rFonts w:ascii="Times New Roman" w:eastAsia="Times New Roman" w:hAnsi="Times New Roman" w:cs="Times New Roman"/>
          <w:color w:val="222222"/>
          <w:sz w:val="20"/>
          <w:szCs w:val="20"/>
        </w:rPr>
        <w:t xml:space="preserve">, </w:t>
      </w:r>
      <w:r w:rsidRPr="004874B3">
        <w:rPr>
          <w:rFonts w:ascii="Times New Roman" w:eastAsia="Times New Roman" w:hAnsi="Times New Roman" w:cs="Times New Roman"/>
          <w:i/>
          <w:iCs/>
          <w:color w:val="222222"/>
          <w:sz w:val="20"/>
          <w:szCs w:val="20"/>
        </w:rPr>
        <w:t>28</w:t>
      </w:r>
      <w:r w:rsidRPr="004874B3">
        <w:rPr>
          <w:rFonts w:ascii="Times New Roman" w:eastAsia="Times New Roman" w:hAnsi="Times New Roman" w:cs="Times New Roman"/>
          <w:color w:val="222222"/>
          <w:sz w:val="20"/>
          <w:szCs w:val="20"/>
        </w:rPr>
        <w:t>(1), pp.27-30.</w:t>
      </w:r>
    </w:p>
    <w:p w14:paraId="5FDB9D15" w14:textId="77777777" w:rsidR="0061647F" w:rsidRPr="004874B3" w:rsidRDefault="006D77AA">
      <w:pPr>
        <w:numPr>
          <w:ilvl w:val="0"/>
          <w:numId w:val="1"/>
        </w:numPr>
        <w:jc w:val="both"/>
        <w:rPr>
          <w:rFonts w:ascii="Times New Roman" w:eastAsia="Times New Roman" w:hAnsi="Times New Roman" w:cs="Times New Roman"/>
          <w:color w:val="222222"/>
          <w:sz w:val="20"/>
          <w:szCs w:val="20"/>
        </w:rPr>
      </w:pPr>
      <w:r w:rsidRPr="004874B3">
        <w:rPr>
          <w:rFonts w:ascii="Times New Roman" w:eastAsia="Times New Roman" w:hAnsi="Times New Roman" w:cs="Times New Roman"/>
          <w:color w:val="222222"/>
          <w:sz w:val="20"/>
          <w:szCs w:val="20"/>
          <w:highlight w:val="white"/>
        </w:rPr>
        <w:t xml:space="preserve">Kang, D.D., Li, F., Kirton, E., Thomas, A., Egan, R., An, H. and Wang, Z., 2019. </w:t>
      </w:r>
      <w:proofErr w:type="spellStart"/>
      <w:r w:rsidRPr="004874B3">
        <w:rPr>
          <w:rFonts w:ascii="Times New Roman" w:eastAsia="Times New Roman" w:hAnsi="Times New Roman" w:cs="Times New Roman"/>
          <w:color w:val="222222"/>
          <w:sz w:val="20"/>
          <w:szCs w:val="20"/>
          <w:highlight w:val="white"/>
        </w:rPr>
        <w:t>MetaBAT</w:t>
      </w:r>
      <w:proofErr w:type="spellEnd"/>
      <w:r w:rsidRPr="004874B3">
        <w:rPr>
          <w:rFonts w:ascii="Times New Roman" w:eastAsia="Times New Roman" w:hAnsi="Times New Roman" w:cs="Times New Roman"/>
          <w:color w:val="222222"/>
          <w:sz w:val="20"/>
          <w:szCs w:val="20"/>
          <w:highlight w:val="white"/>
        </w:rPr>
        <w:t xml:space="preserve"> 2: an adaptive binning algorithm for robust and efficient genome reconstruction from metagenome assemblies. </w:t>
      </w:r>
      <w:proofErr w:type="spellStart"/>
      <w:r w:rsidRPr="004874B3">
        <w:rPr>
          <w:rFonts w:ascii="Times New Roman" w:eastAsia="Times New Roman" w:hAnsi="Times New Roman" w:cs="Times New Roman"/>
          <w:i/>
          <w:iCs/>
          <w:color w:val="222222"/>
          <w:sz w:val="20"/>
          <w:szCs w:val="20"/>
        </w:rPr>
        <w:t>PeerJ</w:t>
      </w:r>
      <w:proofErr w:type="spellEnd"/>
      <w:r w:rsidRPr="004874B3">
        <w:rPr>
          <w:rFonts w:ascii="Times New Roman" w:eastAsia="Times New Roman" w:hAnsi="Times New Roman" w:cs="Times New Roman"/>
          <w:color w:val="222222"/>
          <w:sz w:val="20"/>
          <w:szCs w:val="20"/>
        </w:rPr>
        <w:t xml:space="preserve">, </w:t>
      </w:r>
      <w:r w:rsidRPr="004874B3">
        <w:rPr>
          <w:rFonts w:ascii="Times New Roman" w:eastAsia="Times New Roman" w:hAnsi="Times New Roman" w:cs="Times New Roman"/>
          <w:i/>
          <w:iCs/>
          <w:color w:val="222222"/>
          <w:sz w:val="20"/>
          <w:szCs w:val="20"/>
        </w:rPr>
        <w:t>7</w:t>
      </w:r>
      <w:r w:rsidRPr="004874B3">
        <w:rPr>
          <w:rFonts w:ascii="Times New Roman" w:eastAsia="Times New Roman" w:hAnsi="Times New Roman" w:cs="Times New Roman"/>
          <w:color w:val="222222"/>
          <w:sz w:val="20"/>
          <w:szCs w:val="20"/>
        </w:rPr>
        <w:t>, p.e7359.</w:t>
      </w:r>
    </w:p>
    <w:p w14:paraId="07260CF8" w14:textId="77777777" w:rsidR="0061647F" w:rsidRPr="004874B3" w:rsidRDefault="006D77AA">
      <w:pPr>
        <w:numPr>
          <w:ilvl w:val="0"/>
          <w:numId w:val="1"/>
        </w:numPr>
        <w:jc w:val="both"/>
        <w:rPr>
          <w:rFonts w:ascii="Times New Roman" w:eastAsia="Times New Roman" w:hAnsi="Times New Roman" w:cs="Times New Roman"/>
          <w:color w:val="222222"/>
          <w:sz w:val="20"/>
          <w:szCs w:val="20"/>
        </w:rPr>
      </w:pPr>
      <w:r w:rsidRPr="004874B3">
        <w:rPr>
          <w:rFonts w:ascii="Times New Roman" w:eastAsia="Times New Roman" w:hAnsi="Times New Roman" w:cs="Times New Roman"/>
          <w:color w:val="222222"/>
          <w:sz w:val="20"/>
          <w:szCs w:val="20"/>
          <w:highlight w:val="white"/>
        </w:rPr>
        <w:t xml:space="preserve">Lee, M.D., 2019. GToTree: a user-friendly workflow for </w:t>
      </w:r>
      <w:proofErr w:type="spellStart"/>
      <w:r w:rsidRPr="004874B3">
        <w:rPr>
          <w:rFonts w:ascii="Times New Roman" w:eastAsia="Times New Roman" w:hAnsi="Times New Roman" w:cs="Times New Roman"/>
          <w:color w:val="222222"/>
          <w:sz w:val="20"/>
          <w:szCs w:val="20"/>
          <w:highlight w:val="white"/>
        </w:rPr>
        <w:t>phylogenomics</w:t>
      </w:r>
      <w:proofErr w:type="spellEnd"/>
      <w:r w:rsidRPr="004874B3">
        <w:rPr>
          <w:rFonts w:ascii="Times New Roman" w:eastAsia="Times New Roman" w:hAnsi="Times New Roman" w:cs="Times New Roman"/>
          <w:color w:val="222222"/>
          <w:sz w:val="20"/>
          <w:szCs w:val="20"/>
          <w:highlight w:val="white"/>
        </w:rPr>
        <w:t>. Bioinformatics, 35(20), pp.4162-4164.</w:t>
      </w:r>
    </w:p>
    <w:p w14:paraId="59CC2D81" w14:textId="77777777" w:rsidR="0061647F" w:rsidRPr="004874B3" w:rsidRDefault="006D77AA">
      <w:pPr>
        <w:numPr>
          <w:ilvl w:val="0"/>
          <w:numId w:val="1"/>
        </w:numPr>
        <w:jc w:val="both"/>
        <w:rPr>
          <w:rFonts w:ascii="Times New Roman" w:eastAsia="Times New Roman" w:hAnsi="Times New Roman" w:cs="Times New Roman"/>
          <w:color w:val="222222"/>
          <w:sz w:val="20"/>
          <w:szCs w:val="20"/>
        </w:rPr>
      </w:pPr>
      <w:proofErr w:type="spellStart"/>
      <w:r w:rsidRPr="004874B3">
        <w:rPr>
          <w:rFonts w:ascii="Times New Roman" w:eastAsia="Times New Roman" w:hAnsi="Times New Roman" w:cs="Times New Roman"/>
          <w:color w:val="222222"/>
          <w:sz w:val="20"/>
          <w:szCs w:val="20"/>
          <w:highlight w:val="white"/>
        </w:rPr>
        <w:t>Letunic</w:t>
      </w:r>
      <w:proofErr w:type="spellEnd"/>
      <w:r w:rsidRPr="004874B3">
        <w:rPr>
          <w:rFonts w:ascii="Times New Roman" w:eastAsia="Times New Roman" w:hAnsi="Times New Roman" w:cs="Times New Roman"/>
          <w:color w:val="222222"/>
          <w:sz w:val="20"/>
          <w:szCs w:val="20"/>
          <w:highlight w:val="white"/>
        </w:rPr>
        <w:t>, I. and Bork, P., 2024. Interactive Tree of Life (</w:t>
      </w:r>
      <w:proofErr w:type="spellStart"/>
      <w:r w:rsidRPr="004874B3">
        <w:rPr>
          <w:rFonts w:ascii="Times New Roman" w:eastAsia="Times New Roman" w:hAnsi="Times New Roman" w:cs="Times New Roman"/>
          <w:color w:val="222222"/>
          <w:sz w:val="20"/>
          <w:szCs w:val="20"/>
          <w:highlight w:val="white"/>
        </w:rPr>
        <w:t>iTOL</w:t>
      </w:r>
      <w:proofErr w:type="spellEnd"/>
      <w:r w:rsidRPr="004874B3">
        <w:rPr>
          <w:rFonts w:ascii="Times New Roman" w:eastAsia="Times New Roman" w:hAnsi="Times New Roman" w:cs="Times New Roman"/>
          <w:color w:val="222222"/>
          <w:sz w:val="20"/>
          <w:szCs w:val="20"/>
          <w:highlight w:val="white"/>
        </w:rPr>
        <w:t xml:space="preserve">) v6: recent updates to the phylogenetic tree display and annotation tool. </w:t>
      </w:r>
      <w:r w:rsidRPr="004874B3">
        <w:rPr>
          <w:rFonts w:ascii="Times New Roman" w:eastAsia="Times New Roman" w:hAnsi="Times New Roman" w:cs="Times New Roman"/>
          <w:i/>
          <w:iCs/>
          <w:color w:val="222222"/>
          <w:sz w:val="20"/>
          <w:szCs w:val="20"/>
        </w:rPr>
        <w:t>Nucleic acids research</w:t>
      </w:r>
      <w:r w:rsidRPr="004874B3">
        <w:rPr>
          <w:rFonts w:ascii="Times New Roman" w:eastAsia="Times New Roman" w:hAnsi="Times New Roman" w:cs="Times New Roman"/>
          <w:color w:val="222222"/>
          <w:sz w:val="20"/>
          <w:szCs w:val="20"/>
        </w:rPr>
        <w:t xml:space="preserve">, </w:t>
      </w:r>
      <w:r w:rsidRPr="004874B3">
        <w:rPr>
          <w:rFonts w:ascii="Times New Roman" w:eastAsia="Times New Roman" w:hAnsi="Times New Roman" w:cs="Times New Roman"/>
          <w:i/>
          <w:iCs/>
          <w:color w:val="222222"/>
          <w:sz w:val="20"/>
          <w:szCs w:val="20"/>
        </w:rPr>
        <w:t>52</w:t>
      </w:r>
      <w:r w:rsidRPr="004874B3">
        <w:rPr>
          <w:rFonts w:ascii="Times New Roman" w:eastAsia="Times New Roman" w:hAnsi="Times New Roman" w:cs="Times New Roman"/>
          <w:color w:val="222222"/>
          <w:sz w:val="20"/>
          <w:szCs w:val="20"/>
        </w:rPr>
        <w:t xml:space="preserve">(W1), </w:t>
      </w:r>
      <w:proofErr w:type="gramStart"/>
      <w:r w:rsidRPr="004874B3">
        <w:rPr>
          <w:rFonts w:ascii="Times New Roman" w:eastAsia="Times New Roman" w:hAnsi="Times New Roman" w:cs="Times New Roman"/>
          <w:color w:val="222222"/>
          <w:sz w:val="20"/>
          <w:szCs w:val="20"/>
        </w:rPr>
        <w:t>pp.W</w:t>
      </w:r>
      <w:proofErr w:type="gramEnd"/>
      <w:r w:rsidRPr="004874B3">
        <w:rPr>
          <w:rFonts w:ascii="Times New Roman" w:eastAsia="Times New Roman" w:hAnsi="Times New Roman" w:cs="Times New Roman"/>
          <w:color w:val="222222"/>
          <w:sz w:val="20"/>
          <w:szCs w:val="20"/>
        </w:rPr>
        <w:t>78-W82.</w:t>
      </w:r>
    </w:p>
    <w:p w14:paraId="08FA9C89" w14:textId="77777777" w:rsidR="0061647F" w:rsidRPr="004874B3" w:rsidRDefault="006D77AA">
      <w:pPr>
        <w:numPr>
          <w:ilvl w:val="0"/>
          <w:numId w:val="1"/>
        </w:numPr>
        <w:jc w:val="both"/>
        <w:rPr>
          <w:rFonts w:ascii="Times New Roman" w:eastAsia="Times New Roman" w:hAnsi="Times New Roman" w:cs="Times New Roman"/>
          <w:color w:val="222222"/>
          <w:sz w:val="20"/>
          <w:szCs w:val="20"/>
        </w:rPr>
      </w:pPr>
      <w:r w:rsidRPr="004874B3">
        <w:rPr>
          <w:rFonts w:ascii="Times New Roman" w:eastAsia="Times New Roman" w:hAnsi="Times New Roman" w:cs="Times New Roman"/>
          <w:color w:val="222222"/>
          <w:sz w:val="20"/>
          <w:szCs w:val="20"/>
          <w:highlight w:val="white"/>
        </w:rPr>
        <w:t xml:space="preserve">Li, H. 2013. Aligning sequence reads, clone sequences and assembly contigs with BWAMEM. Li H, </w:t>
      </w:r>
      <w:proofErr w:type="spellStart"/>
      <w:r w:rsidRPr="004874B3">
        <w:rPr>
          <w:rFonts w:ascii="Times New Roman" w:eastAsia="Times New Roman" w:hAnsi="Times New Roman" w:cs="Times New Roman"/>
          <w:color w:val="222222"/>
          <w:sz w:val="20"/>
          <w:szCs w:val="20"/>
          <w:highlight w:val="white"/>
        </w:rPr>
        <w:t>Handsaker</w:t>
      </w:r>
      <w:proofErr w:type="spellEnd"/>
      <w:r w:rsidRPr="004874B3">
        <w:rPr>
          <w:rFonts w:ascii="Times New Roman" w:eastAsia="Times New Roman" w:hAnsi="Times New Roman" w:cs="Times New Roman"/>
          <w:color w:val="222222"/>
          <w:sz w:val="20"/>
          <w:szCs w:val="20"/>
          <w:highlight w:val="white"/>
        </w:rPr>
        <w:t xml:space="preserve"> B, </w:t>
      </w:r>
      <w:proofErr w:type="spellStart"/>
      <w:r w:rsidRPr="004874B3">
        <w:rPr>
          <w:rFonts w:ascii="Times New Roman" w:eastAsia="Times New Roman" w:hAnsi="Times New Roman" w:cs="Times New Roman"/>
          <w:color w:val="222222"/>
          <w:sz w:val="20"/>
          <w:szCs w:val="20"/>
          <w:highlight w:val="white"/>
        </w:rPr>
        <w:t>Wysoker</w:t>
      </w:r>
      <w:proofErr w:type="spellEnd"/>
      <w:r w:rsidRPr="004874B3">
        <w:rPr>
          <w:rFonts w:ascii="Times New Roman" w:eastAsia="Times New Roman" w:hAnsi="Times New Roman" w:cs="Times New Roman"/>
          <w:color w:val="222222"/>
          <w:sz w:val="20"/>
          <w:szCs w:val="20"/>
          <w:highlight w:val="white"/>
        </w:rPr>
        <w:t xml:space="preserve"> A, Fennell T, Ruan J, Homer N, Marth G, </w:t>
      </w:r>
      <w:proofErr w:type="spellStart"/>
      <w:r w:rsidRPr="004874B3">
        <w:rPr>
          <w:rFonts w:ascii="Times New Roman" w:eastAsia="Times New Roman" w:hAnsi="Times New Roman" w:cs="Times New Roman"/>
          <w:color w:val="222222"/>
          <w:sz w:val="20"/>
          <w:szCs w:val="20"/>
          <w:highlight w:val="white"/>
        </w:rPr>
        <w:t>Abecasis</w:t>
      </w:r>
      <w:proofErr w:type="spellEnd"/>
      <w:r w:rsidRPr="004874B3">
        <w:rPr>
          <w:rFonts w:ascii="Times New Roman" w:eastAsia="Times New Roman" w:hAnsi="Times New Roman" w:cs="Times New Roman"/>
          <w:color w:val="222222"/>
          <w:sz w:val="20"/>
          <w:szCs w:val="20"/>
          <w:highlight w:val="white"/>
        </w:rPr>
        <w:t xml:space="preserve"> G, Durbin R. 2009. The Sequence Alignment/Map format and </w:t>
      </w:r>
      <w:proofErr w:type="spellStart"/>
      <w:r w:rsidRPr="004874B3">
        <w:rPr>
          <w:rFonts w:ascii="Times New Roman" w:eastAsia="Times New Roman" w:hAnsi="Times New Roman" w:cs="Times New Roman"/>
          <w:color w:val="222222"/>
          <w:sz w:val="20"/>
          <w:szCs w:val="20"/>
          <w:highlight w:val="white"/>
        </w:rPr>
        <w:t>SAMtools</w:t>
      </w:r>
      <w:proofErr w:type="spellEnd"/>
      <w:r w:rsidRPr="004874B3">
        <w:rPr>
          <w:rFonts w:ascii="Times New Roman" w:eastAsia="Times New Roman" w:hAnsi="Times New Roman" w:cs="Times New Roman"/>
          <w:color w:val="222222"/>
          <w:sz w:val="20"/>
          <w:szCs w:val="20"/>
          <w:highlight w:val="white"/>
        </w:rPr>
        <w:t>. Bioinformatics 25:2078–2079.</w:t>
      </w:r>
    </w:p>
    <w:p w14:paraId="1153F21D" w14:textId="77777777" w:rsidR="0061647F" w:rsidRPr="004874B3" w:rsidRDefault="006D77AA">
      <w:pPr>
        <w:numPr>
          <w:ilvl w:val="0"/>
          <w:numId w:val="1"/>
        </w:numPr>
        <w:jc w:val="both"/>
        <w:rPr>
          <w:rFonts w:ascii="Times New Roman" w:eastAsia="Times New Roman" w:hAnsi="Times New Roman" w:cs="Times New Roman"/>
          <w:color w:val="222222"/>
          <w:sz w:val="20"/>
          <w:szCs w:val="20"/>
        </w:rPr>
      </w:pPr>
      <w:r w:rsidRPr="004874B3">
        <w:rPr>
          <w:rFonts w:ascii="Times New Roman" w:eastAsia="Times New Roman" w:hAnsi="Times New Roman" w:cs="Times New Roman"/>
          <w:color w:val="222222"/>
          <w:sz w:val="20"/>
          <w:szCs w:val="20"/>
        </w:rPr>
        <w:t xml:space="preserve">Lievens, A., </w:t>
      </w:r>
      <w:proofErr w:type="spellStart"/>
      <w:r w:rsidRPr="004874B3">
        <w:rPr>
          <w:rFonts w:ascii="Times New Roman" w:eastAsia="Times New Roman" w:hAnsi="Times New Roman" w:cs="Times New Roman"/>
          <w:color w:val="222222"/>
          <w:sz w:val="20"/>
          <w:szCs w:val="20"/>
        </w:rPr>
        <w:t>Jacchia</w:t>
      </w:r>
      <w:proofErr w:type="spellEnd"/>
      <w:r w:rsidRPr="004874B3">
        <w:rPr>
          <w:rFonts w:ascii="Times New Roman" w:eastAsia="Times New Roman" w:hAnsi="Times New Roman" w:cs="Times New Roman"/>
          <w:color w:val="222222"/>
          <w:sz w:val="20"/>
          <w:szCs w:val="20"/>
        </w:rPr>
        <w:t xml:space="preserve">, S., </w:t>
      </w:r>
      <w:proofErr w:type="spellStart"/>
      <w:r w:rsidRPr="004874B3">
        <w:rPr>
          <w:rFonts w:ascii="Times New Roman" w:eastAsia="Times New Roman" w:hAnsi="Times New Roman" w:cs="Times New Roman"/>
          <w:color w:val="222222"/>
          <w:sz w:val="20"/>
          <w:szCs w:val="20"/>
        </w:rPr>
        <w:t>Kagkli</w:t>
      </w:r>
      <w:proofErr w:type="spellEnd"/>
      <w:r w:rsidRPr="004874B3">
        <w:rPr>
          <w:rFonts w:ascii="Times New Roman" w:eastAsia="Times New Roman" w:hAnsi="Times New Roman" w:cs="Times New Roman"/>
          <w:color w:val="222222"/>
          <w:sz w:val="20"/>
          <w:szCs w:val="20"/>
        </w:rPr>
        <w:t xml:space="preserve">, D., Savini, C. and </w:t>
      </w:r>
      <w:proofErr w:type="spellStart"/>
      <w:r w:rsidRPr="004874B3">
        <w:rPr>
          <w:rFonts w:ascii="Times New Roman" w:eastAsia="Times New Roman" w:hAnsi="Times New Roman" w:cs="Times New Roman"/>
          <w:color w:val="222222"/>
          <w:sz w:val="20"/>
          <w:szCs w:val="20"/>
        </w:rPr>
        <w:t>Querci</w:t>
      </w:r>
      <w:proofErr w:type="spellEnd"/>
      <w:r w:rsidRPr="004874B3">
        <w:rPr>
          <w:rFonts w:ascii="Times New Roman" w:eastAsia="Times New Roman" w:hAnsi="Times New Roman" w:cs="Times New Roman"/>
          <w:color w:val="222222"/>
          <w:sz w:val="20"/>
          <w:szCs w:val="20"/>
        </w:rPr>
        <w:t xml:space="preserve">, M., 2016. Measuring digital PCR quality: performance parameters and their optimization. </w:t>
      </w:r>
      <w:proofErr w:type="spellStart"/>
      <w:r w:rsidRPr="004874B3">
        <w:rPr>
          <w:rFonts w:ascii="Times New Roman" w:eastAsia="Times New Roman" w:hAnsi="Times New Roman" w:cs="Times New Roman"/>
          <w:color w:val="222222"/>
          <w:sz w:val="20"/>
          <w:szCs w:val="20"/>
        </w:rPr>
        <w:t>PloS</w:t>
      </w:r>
      <w:proofErr w:type="spellEnd"/>
      <w:r w:rsidRPr="004874B3">
        <w:rPr>
          <w:rFonts w:ascii="Times New Roman" w:eastAsia="Times New Roman" w:hAnsi="Times New Roman" w:cs="Times New Roman"/>
          <w:color w:val="222222"/>
          <w:sz w:val="20"/>
          <w:szCs w:val="20"/>
        </w:rPr>
        <w:t xml:space="preserve"> one, 11(5), p.e0153317.</w:t>
      </w:r>
    </w:p>
    <w:p w14:paraId="5C7BFACE" w14:textId="77777777" w:rsidR="0061647F" w:rsidRPr="004874B3" w:rsidRDefault="006D77AA">
      <w:pPr>
        <w:numPr>
          <w:ilvl w:val="0"/>
          <w:numId w:val="1"/>
        </w:numPr>
        <w:jc w:val="both"/>
        <w:rPr>
          <w:rFonts w:ascii="Times New Roman" w:eastAsia="Times New Roman" w:hAnsi="Times New Roman" w:cs="Times New Roman"/>
          <w:color w:val="222222"/>
          <w:sz w:val="20"/>
          <w:szCs w:val="20"/>
        </w:rPr>
      </w:pPr>
      <w:r w:rsidRPr="004874B3">
        <w:rPr>
          <w:rFonts w:ascii="Times New Roman" w:eastAsia="Times New Roman" w:hAnsi="Times New Roman" w:cs="Times New Roman"/>
          <w:color w:val="222222"/>
          <w:sz w:val="20"/>
          <w:szCs w:val="20"/>
          <w:highlight w:val="white"/>
        </w:rPr>
        <w:t xml:space="preserve">Nurk, S., Meleshko, D., </w:t>
      </w:r>
      <w:proofErr w:type="spellStart"/>
      <w:r w:rsidRPr="004874B3">
        <w:rPr>
          <w:rFonts w:ascii="Times New Roman" w:eastAsia="Times New Roman" w:hAnsi="Times New Roman" w:cs="Times New Roman"/>
          <w:color w:val="222222"/>
          <w:sz w:val="20"/>
          <w:szCs w:val="20"/>
          <w:highlight w:val="white"/>
        </w:rPr>
        <w:t>Korobeynikov</w:t>
      </w:r>
      <w:proofErr w:type="spellEnd"/>
      <w:r w:rsidRPr="004874B3">
        <w:rPr>
          <w:rFonts w:ascii="Times New Roman" w:eastAsia="Times New Roman" w:hAnsi="Times New Roman" w:cs="Times New Roman"/>
          <w:color w:val="222222"/>
          <w:sz w:val="20"/>
          <w:szCs w:val="20"/>
          <w:highlight w:val="white"/>
        </w:rPr>
        <w:t xml:space="preserve">, A. and Pevzner, P.A., 2017. metaSPAdes: a new versatile metagenomic assembler. </w:t>
      </w:r>
      <w:r w:rsidRPr="004874B3">
        <w:rPr>
          <w:rFonts w:ascii="Times New Roman" w:eastAsia="Times New Roman" w:hAnsi="Times New Roman" w:cs="Times New Roman"/>
          <w:i/>
          <w:iCs/>
          <w:color w:val="222222"/>
          <w:sz w:val="20"/>
          <w:szCs w:val="20"/>
        </w:rPr>
        <w:t>Genome research</w:t>
      </w:r>
      <w:r w:rsidRPr="004874B3">
        <w:rPr>
          <w:rFonts w:ascii="Times New Roman" w:eastAsia="Times New Roman" w:hAnsi="Times New Roman" w:cs="Times New Roman"/>
          <w:color w:val="222222"/>
          <w:sz w:val="20"/>
          <w:szCs w:val="20"/>
        </w:rPr>
        <w:t xml:space="preserve">, </w:t>
      </w:r>
      <w:r w:rsidRPr="004874B3">
        <w:rPr>
          <w:rFonts w:ascii="Times New Roman" w:eastAsia="Times New Roman" w:hAnsi="Times New Roman" w:cs="Times New Roman"/>
          <w:i/>
          <w:iCs/>
          <w:color w:val="222222"/>
          <w:sz w:val="20"/>
          <w:szCs w:val="20"/>
        </w:rPr>
        <w:t>27</w:t>
      </w:r>
      <w:r w:rsidRPr="004874B3">
        <w:rPr>
          <w:rFonts w:ascii="Times New Roman" w:eastAsia="Times New Roman" w:hAnsi="Times New Roman" w:cs="Times New Roman"/>
          <w:color w:val="222222"/>
          <w:sz w:val="20"/>
          <w:szCs w:val="20"/>
        </w:rPr>
        <w:t>(5), pp.824-834.</w:t>
      </w:r>
    </w:p>
    <w:p w14:paraId="1B519A7D" w14:textId="77777777" w:rsidR="0061647F" w:rsidRPr="004874B3" w:rsidRDefault="006D77AA">
      <w:pPr>
        <w:numPr>
          <w:ilvl w:val="0"/>
          <w:numId w:val="1"/>
        </w:numPr>
        <w:jc w:val="both"/>
        <w:rPr>
          <w:rFonts w:ascii="Times New Roman" w:eastAsia="Times New Roman" w:hAnsi="Times New Roman" w:cs="Times New Roman"/>
          <w:color w:val="222222"/>
          <w:sz w:val="20"/>
          <w:szCs w:val="20"/>
        </w:rPr>
      </w:pPr>
      <w:r w:rsidRPr="004874B3">
        <w:rPr>
          <w:rFonts w:ascii="Times New Roman" w:eastAsia="Times New Roman" w:hAnsi="Times New Roman" w:cs="Times New Roman"/>
          <w:color w:val="222222"/>
          <w:sz w:val="20"/>
          <w:szCs w:val="20"/>
          <w:highlight w:val="white"/>
        </w:rPr>
        <w:t xml:space="preserve">Olm, M.R., Brown, C.T., Brooks, B. and Banfield, J.F., 2017. </w:t>
      </w:r>
      <w:proofErr w:type="spellStart"/>
      <w:r w:rsidRPr="004874B3">
        <w:rPr>
          <w:rFonts w:ascii="Times New Roman" w:eastAsia="Times New Roman" w:hAnsi="Times New Roman" w:cs="Times New Roman"/>
          <w:color w:val="222222"/>
          <w:sz w:val="20"/>
          <w:szCs w:val="20"/>
          <w:highlight w:val="white"/>
        </w:rPr>
        <w:t>dRep</w:t>
      </w:r>
      <w:proofErr w:type="spellEnd"/>
      <w:r w:rsidRPr="004874B3">
        <w:rPr>
          <w:rFonts w:ascii="Times New Roman" w:eastAsia="Times New Roman" w:hAnsi="Times New Roman" w:cs="Times New Roman"/>
          <w:color w:val="222222"/>
          <w:sz w:val="20"/>
          <w:szCs w:val="20"/>
          <w:highlight w:val="white"/>
        </w:rPr>
        <w:t>: a tool for fast and accurate genomic comparisons that enables improved genome recovery from metagenomes through de-replication. The ISME journal, 11(12), pp.2864-2868.</w:t>
      </w:r>
    </w:p>
    <w:p w14:paraId="24A0653C" w14:textId="77777777" w:rsidR="0061647F" w:rsidRPr="004874B3" w:rsidRDefault="006D77AA">
      <w:pPr>
        <w:numPr>
          <w:ilvl w:val="0"/>
          <w:numId w:val="1"/>
        </w:numPr>
        <w:jc w:val="both"/>
        <w:rPr>
          <w:rFonts w:ascii="Times New Roman" w:eastAsia="Times New Roman" w:hAnsi="Times New Roman" w:cs="Times New Roman"/>
          <w:color w:val="222222"/>
          <w:sz w:val="20"/>
          <w:szCs w:val="20"/>
        </w:rPr>
      </w:pPr>
      <w:proofErr w:type="spellStart"/>
      <w:r w:rsidRPr="004874B3">
        <w:rPr>
          <w:rFonts w:ascii="Times New Roman" w:eastAsia="Times New Roman" w:hAnsi="Times New Roman" w:cs="Times New Roman"/>
          <w:color w:val="222222"/>
          <w:sz w:val="20"/>
          <w:szCs w:val="20"/>
          <w:highlight w:val="white"/>
        </w:rPr>
        <w:t>Ondov</w:t>
      </w:r>
      <w:proofErr w:type="spellEnd"/>
      <w:r w:rsidRPr="004874B3">
        <w:rPr>
          <w:rFonts w:ascii="Times New Roman" w:eastAsia="Times New Roman" w:hAnsi="Times New Roman" w:cs="Times New Roman"/>
          <w:color w:val="222222"/>
          <w:sz w:val="20"/>
          <w:szCs w:val="20"/>
          <w:highlight w:val="white"/>
        </w:rPr>
        <w:t xml:space="preserve">, B.D., </w:t>
      </w:r>
      <w:proofErr w:type="spellStart"/>
      <w:r w:rsidRPr="004874B3">
        <w:rPr>
          <w:rFonts w:ascii="Times New Roman" w:eastAsia="Times New Roman" w:hAnsi="Times New Roman" w:cs="Times New Roman"/>
          <w:color w:val="222222"/>
          <w:sz w:val="20"/>
          <w:szCs w:val="20"/>
          <w:highlight w:val="white"/>
        </w:rPr>
        <w:t>Treangen</w:t>
      </w:r>
      <w:proofErr w:type="spellEnd"/>
      <w:r w:rsidRPr="004874B3">
        <w:rPr>
          <w:rFonts w:ascii="Times New Roman" w:eastAsia="Times New Roman" w:hAnsi="Times New Roman" w:cs="Times New Roman"/>
          <w:color w:val="222222"/>
          <w:sz w:val="20"/>
          <w:szCs w:val="20"/>
          <w:highlight w:val="white"/>
        </w:rPr>
        <w:t xml:space="preserve">, T.J., Melsted, P., Mallonee, A.B., Bergman, N.H., Koren, S. and Phillippy, A.M., 2016. Mash: fast genome and metagenome distance estimation using </w:t>
      </w:r>
      <w:proofErr w:type="spellStart"/>
      <w:r w:rsidRPr="004874B3">
        <w:rPr>
          <w:rFonts w:ascii="Times New Roman" w:eastAsia="Times New Roman" w:hAnsi="Times New Roman" w:cs="Times New Roman"/>
          <w:color w:val="222222"/>
          <w:sz w:val="20"/>
          <w:szCs w:val="20"/>
          <w:highlight w:val="white"/>
        </w:rPr>
        <w:t>MinHash</w:t>
      </w:r>
      <w:proofErr w:type="spellEnd"/>
      <w:r w:rsidRPr="004874B3">
        <w:rPr>
          <w:rFonts w:ascii="Times New Roman" w:eastAsia="Times New Roman" w:hAnsi="Times New Roman" w:cs="Times New Roman"/>
          <w:color w:val="222222"/>
          <w:sz w:val="20"/>
          <w:szCs w:val="20"/>
          <w:highlight w:val="white"/>
        </w:rPr>
        <w:t xml:space="preserve">. </w:t>
      </w:r>
      <w:r w:rsidRPr="004874B3">
        <w:rPr>
          <w:rFonts w:ascii="Times New Roman" w:eastAsia="Times New Roman" w:hAnsi="Times New Roman" w:cs="Times New Roman"/>
          <w:i/>
          <w:iCs/>
          <w:color w:val="222222"/>
          <w:sz w:val="20"/>
          <w:szCs w:val="20"/>
        </w:rPr>
        <w:t>Genome biology</w:t>
      </w:r>
      <w:r w:rsidRPr="004874B3">
        <w:rPr>
          <w:rFonts w:ascii="Times New Roman" w:eastAsia="Times New Roman" w:hAnsi="Times New Roman" w:cs="Times New Roman"/>
          <w:color w:val="222222"/>
          <w:sz w:val="20"/>
          <w:szCs w:val="20"/>
        </w:rPr>
        <w:t xml:space="preserve">, </w:t>
      </w:r>
      <w:r w:rsidRPr="004874B3">
        <w:rPr>
          <w:rFonts w:ascii="Times New Roman" w:eastAsia="Times New Roman" w:hAnsi="Times New Roman" w:cs="Times New Roman"/>
          <w:i/>
          <w:iCs/>
          <w:color w:val="222222"/>
          <w:sz w:val="20"/>
          <w:szCs w:val="20"/>
        </w:rPr>
        <w:t>17</w:t>
      </w:r>
      <w:r w:rsidRPr="004874B3">
        <w:rPr>
          <w:rFonts w:ascii="Times New Roman" w:eastAsia="Times New Roman" w:hAnsi="Times New Roman" w:cs="Times New Roman"/>
          <w:color w:val="222222"/>
          <w:sz w:val="20"/>
          <w:szCs w:val="20"/>
        </w:rPr>
        <w:t>, pp.1-14.</w:t>
      </w:r>
    </w:p>
    <w:p w14:paraId="38586EA3" w14:textId="77777777" w:rsidR="0061647F" w:rsidRPr="004874B3" w:rsidRDefault="006D77AA">
      <w:pPr>
        <w:numPr>
          <w:ilvl w:val="0"/>
          <w:numId w:val="1"/>
        </w:numPr>
        <w:jc w:val="both"/>
        <w:rPr>
          <w:rFonts w:ascii="Times New Roman" w:eastAsia="Times New Roman" w:hAnsi="Times New Roman" w:cs="Times New Roman"/>
          <w:color w:val="222222"/>
          <w:sz w:val="20"/>
          <w:szCs w:val="20"/>
        </w:rPr>
      </w:pPr>
      <w:r w:rsidRPr="004874B3">
        <w:rPr>
          <w:rFonts w:ascii="Times New Roman" w:eastAsia="Times New Roman" w:hAnsi="Times New Roman" w:cs="Times New Roman"/>
          <w:color w:val="222222"/>
          <w:sz w:val="20"/>
          <w:szCs w:val="20"/>
          <w:highlight w:val="white"/>
        </w:rPr>
        <w:t xml:space="preserve">Parks, D.H., </w:t>
      </w:r>
      <w:proofErr w:type="spellStart"/>
      <w:r w:rsidRPr="004874B3">
        <w:rPr>
          <w:rFonts w:ascii="Times New Roman" w:eastAsia="Times New Roman" w:hAnsi="Times New Roman" w:cs="Times New Roman"/>
          <w:color w:val="222222"/>
          <w:sz w:val="20"/>
          <w:szCs w:val="20"/>
          <w:highlight w:val="white"/>
        </w:rPr>
        <w:t>Imelfort</w:t>
      </w:r>
      <w:proofErr w:type="spellEnd"/>
      <w:r w:rsidRPr="004874B3">
        <w:rPr>
          <w:rFonts w:ascii="Times New Roman" w:eastAsia="Times New Roman" w:hAnsi="Times New Roman" w:cs="Times New Roman"/>
          <w:color w:val="222222"/>
          <w:sz w:val="20"/>
          <w:szCs w:val="20"/>
          <w:highlight w:val="white"/>
        </w:rPr>
        <w:t xml:space="preserve">, M., </w:t>
      </w:r>
      <w:proofErr w:type="spellStart"/>
      <w:r w:rsidRPr="004874B3">
        <w:rPr>
          <w:rFonts w:ascii="Times New Roman" w:eastAsia="Times New Roman" w:hAnsi="Times New Roman" w:cs="Times New Roman"/>
          <w:color w:val="222222"/>
          <w:sz w:val="20"/>
          <w:szCs w:val="20"/>
          <w:highlight w:val="white"/>
        </w:rPr>
        <w:t>Skennerton</w:t>
      </w:r>
      <w:proofErr w:type="spellEnd"/>
      <w:r w:rsidRPr="004874B3">
        <w:rPr>
          <w:rFonts w:ascii="Times New Roman" w:eastAsia="Times New Roman" w:hAnsi="Times New Roman" w:cs="Times New Roman"/>
          <w:color w:val="222222"/>
          <w:sz w:val="20"/>
          <w:szCs w:val="20"/>
          <w:highlight w:val="white"/>
        </w:rPr>
        <w:t xml:space="preserve">, C.T., </w:t>
      </w:r>
      <w:proofErr w:type="spellStart"/>
      <w:r w:rsidRPr="004874B3">
        <w:rPr>
          <w:rFonts w:ascii="Times New Roman" w:eastAsia="Times New Roman" w:hAnsi="Times New Roman" w:cs="Times New Roman"/>
          <w:color w:val="222222"/>
          <w:sz w:val="20"/>
          <w:szCs w:val="20"/>
          <w:highlight w:val="white"/>
        </w:rPr>
        <w:t>Hugenholtz</w:t>
      </w:r>
      <w:proofErr w:type="spellEnd"/>
      <w:r w:rsidRPr="004874B3">
        <w:rPr>
          <w:rFonts w:ascii="Times New Roman" w:eastAsia="Times New Roman" w:hAnsi="Times New Roman" w:cs="Times New Roman"/>
          <w:color w:val="222222"/>
          <w:sz w:val="20"/>
          <w:szCs w:val="20"/>
          <w:highlight w:val="white"/>
        </w:rPr>
        <w:t xml:space="preserve">, P. and Tyson, G.W., 2015. CheckM: assessing the quality of microbial genomes recovered from isolates, single cells, and metagenomes. </w:t>
      </w:r>
      <w:r w:rsidRPr="004874B3">
        <w:rPr>
          <w:rFonts w:ascii="Times New Roman" w:eastAsia="Times New Roman" w:hAnsi="Times New Roman" w:cs="Times New Roman"/>
          <w:i/>
          <w:iCs/>
          <w:color w:val="222222"/>
          <w:sz w:val="20"/>
          <w:szCs w:val="20"/>
        </w:rPr>
        <w:t>Genome research</w:t>
      </w:r>
      <w:r w:rsidRPr="004874B3">
        <w:rPr>
          <w:rFonts w:ascii="Times New Roman" w:eastAsia="Times New Roman" w:hAnsi="Times New Roman" w:cs="Times New Roman"/>
          <w:color w:val="222222"/>
          <w:sz w:val="20"/>
          <w:szCs w:val="20"/>
        </w:rPr>
        <w:t xml:space="preserve">, </w:t>
      </w:r>
      <w:r w:rsidRPr="004874B3">
        <w:rPr>
          <w:rFonts w:ascii="Times New Roman" w:eastAsia="Times New Roman" w:hAnsi="Times New Roman" w:cs="Times New Roman"/>
          <w:i/>
          <w:iCs/>
          <w:color w:val="222222"/>
          <w:sz w:val="20"/>
          <w:szCs w:val="20"/>
        </w:rPr>
        <w:t>25</w:t>
      </w:r>
      <w:r w:rsidRPr="004874B3">
        <w:rPr>
          <w:rFonts w:ascii="Times New Roman" w:eastAsia="Times New Roman" w:hAnsi="Times New Roman" w:cs="Times New Roman"/>
          <w:color w:val="222222"/>
          <w:sz w:val="20"/>
          <w:szCs w:val="20"/>
        </w:rPr>
        <w:t>(7), pp.1043-1055.</w:t>
      </w:r>
    </w:p>
    <w:p w14:paraId="339933C4" w14:textId="77777777" w:rsidR="0061647F" w:rsidRPr="004874B3" w:rsidRDefault="006D77AA">
      <w:pPr>
        <w:numPr>
          <w:ilvl w:val="0"/>
          <w:numId w:val="1"/>
        </w:numPr>
        <w:jc w:val="both"/>
        <w:rPr>
          <w:rFonts w:ascii="Times New Roman" w:eastAsia="Times New Roman" w:hAnsi="Times New Roman" w:cs="Times New Roman"/>
          <w:color w:val="222222"/>
          <w:sz w:val="20"/>
          <w:szCs w:val="20"/>
        </w:rPr>
      </w:pPr>
      <w:r w:rsidRPr="004874B3">
        <w:rPr>
          <w:rFonts w:ascii="Times New Roman" w:eastAsia="Times New Roman" w:hAnsi="Times New Roman" w:cs="Times New Roman"/>
          <w:color w:val="222222"/>
          <w:sz w:val="20"/>
          <w:szCs w:val="20"/>
          <w:highlight w:val="white"/>
        </w:rPr>
        <w:t xml:space="preserve">Rodriguez-R LM, Gunturu S, Tiedje JM, Cole JR, Konstantinidis KT. 2018. Nonpareil 3: Fast Estimation of Metagenomic Coverage and Sequence Diversity. </w:t>
      </w:r>
      <w:proofErr w:type="spellStart"/>
      <w:r w:rsidRPr="004874B3">
        <w:rPr>
          <w:rFonts w:ascii="Times New Roman" w:eastAsia="Times New Roman" w:hAnsi="Times New Roman" w:cs="Times New Roman"/>
          <w:i/>
          <w:iCs/>
          <w:color w:val="222222"/>
          <w:sz w:val="20"/>
          <w:szCs w:val="20"/>
          <w:highlight w:val="white"/>
        </w:rPr>
        <w:t>mSystems</w:t>
      </w:r>
      <w:proofErr w:type="spellEnd"/>
      <w:r w:rsidRPr="004874B3">
        <w:rPr>
          <w:rFonts w:ascii="Times New Roman" w:eastAsia="Times New Roman" w:hAnsi="Times New Roman" w:cs="Times New Roman"/>
          <w:color w:val="222222"/>
          <w:sz w:val="20"/>
          <w:szCs w:val="20"/>
          <w:highlight w:val="white"/>
        </w:rPr>
        <w:t>.</w:t>
      </w:r>
    </w:p>
    <w:p w14:paraId="1763A3CC" w14:textId="77777777" w:rsidR="0061647F" w:rsidRPr="004874B3" w:rsidRDefault="006D77AA">
      <w:pPr>
        <w:numPr>
          <w:ilvl w:val="0"/>
          <w:numId w:val="1"/>
        </w:numPr>
        <w:jc w:val="both"/>
        <w:rPr>
          <w:rFonts w:ascii="Times New Roman" w:eastAsia="Times New Roman" w:hAnsi="Times New Roman" w:cs="Times New Roman"/>
          <w:color w:val="222222"/>
          <w:sz w:val="20"/>
          <w:szCs w:val="20"/>
        </w:rPr>
      </w:pPr>
      <w:r w:rsidRPr="004874B3">
        <w:rPr>
          <w:rFonts w:ascii="Times New Roman" w:eastAsia="Times New Roman" w:hAnsi="Times New Roman" w:cs="Times New Roman"/>
          <w:color w:val="222222"/>
          <w:sz w:val="20"/>
          <w:szCs w:val="20"/>
          <w:highlight w:val="white"/>
        </w:rPr>
        <w:t xml:space="preserve">Seemann, T. 2014. </w:t>
      </w:r>
      <w:proofErr w:type="spellStart"/>
      <w:r w:rsidRPr="004874B3">
        <w:rPr>
          <w:rFonts w:ascii="Times New Roman" w:eastAsia="Times New Roman" w:hAnsi="Times New Roman" w:cs="Times New Roman"/>
          <w:color w:val="222222"/>
          <w:sz w:val="20"/>
          <w:szCs w:val="20"/>
          <w:highlight w:val="white"/>
        </w:rPr>
        <w:t>Prokka</w:t>
      </w:r>
      <w:proofErr w:type="spellEnd"/>
      <w:r w:rsidRPr="004874B3">
        <w:rPr>
          <w:rFonts w:ascii="Times New Roman" w:eastAsia="Times New Roman" w:hAnsi="Times New Roman" w:cs="Times New Roman"/>
          <w:color w:val="222222"/>
          <w:sz w:val="20"/>
          <w:szCs w:val="20"/>
          <w:highlight w:val="white"/>
        </w:rPr>
        <w:t xml:space="preserve">: rapid prokaryotic genome annotation. </w:t>
      </w:r>
      <w:r w:rsidRPr="004874B3">
        <w:rPr>
          <w:rFonts w:ascii="Times New Roman" w:eastAsia="Times New Roman" w:hAnsi="Times New Roman" w:cs="Times New Roman"/>
          <w:i/>
          <w:iCs/>
          <w:color w:val="222222"/>
          <w:sz w:val="20"/>
          <w:szCs w:val="20"/>
        </w:rPr>
        <w:t>Bioinformatics</w:t>
      </w:r>
      <w:r w:rsidRPr="004874B3">
        <w:rPr>
          <w:rFonts w:ascii="Times New Roman" w:eastAsia="Times New Roman" w:hAnsi="Times New Roman" w:cs="Times New Roman"/>
          <w:color w:val="222222"/>
          <w:sz w:val="20"/>
          <w:szCs w:val="20"/>
        </w:rPr>
        <w:t xml:space="preserve"> 30, no. 14: 2068-2069.</w:t>
      </w:r>
    </w:p>
    <w:p w14:paraId="648F886C" w14:textId="77777777" w:rsidR="0061647F" w:rsidRPr="004874B3" w:rsidRDefault="006D77AA">
      <w:pPr>
        <w:numPr>
          <w:ilvl w:val="0"/>
          <w:numId w:val="1"/>
        </w:numPr>
        <w:jc w:val="both"/>
        <w:rPr>
          <w:rFonts w:ascii="Times New Roman" w:eastAsia="Times New Roman" w:hAnsi="Times New Roman" w:cs="Times New Roman"/>
          <w:color w:val="222222"/>
          <w:sz w:val="20"/>
          <w:szCs w:val="20"/>
        </w:rPr>
      </w:pPr>
      <w:r w:rsidRPr="004874B3">
        <w:rPr>
          <w:rFonts w:ascii="Times New Roman" w:eastAsia="Times New Roman" w:hAnsi="Times New Roman" w:cs="Times New Roman"/>
          <w:color w:val="222222"/>
          <w:sz w:val="20"/>
          <w:szCs w:val="20"/>
          <w:highlight w:val="white"/>
        </w:rPr>
        <w:t xml:space="preserve">Sieber, C.M., Probst, A.J., Sharrar, A., Thomas, B.C., Hess, M., </w:t>
      </w:r>
      <w:proofErr w:type="spellStart"/>
      <w:r w:rsidRPr="004874B3">
        <w:rPr>
          <w:rFonts w:ascii="Times New Roman" w:eastAsia="Times New Roman" w:hAnsi="Times New Roman" w:cs="Times New Roman"/>
          <w:color w:val="222222"/>
          <w:sz w:val="20"/>
          <w:szCs w:val="20"/>
          <w:highlight w:val="white"/>
        </w:rPr>
        <w:t>Tringe</w:t>
      </w:r>
      <w:proofErr w:type="spellEnd"/>
      <w:r w:rsidRPr="004874B3">
        <w:rPr>
          <w:rFonts w:ascii="Times New Roman" w:eastAsia="Times New Roman" w:hAnsi="Times New Roman" w:cs="Times New Roman"/>
          <w:color w:val="222222"/>
          <w:sz w:val="20"/>
          <w:szCs w:val="20"/>
          <w:highlight w:val="white"/>
        </w:rPr>
        <w:t xml:space="preserve">, S.G. and Banfield, J.F., 2018. Recovery of genomes from metagenomes via a dereplication, aggregation and scoring strategy. </w:t>
      </w:r>
      <w:r w:rsidRPr="004874B3">
        <w:rPr>
          <w:rFonts w:ascii="Times New Roman" w:eastAsia="Times New Roman" w:hAnsi="Times New Roman" w:cs="Times New Roman"/>
          <w:i/>
          <w:iCs/>
          <w:color w:val="222222"/>
          <w:sz w:val="20"/>
          <w:szCs w:val="20"/>
        </w:rPr>
        <w:t>Nature microbiology</w:t>
      </w:r>
      <w:r w:rsidRPr="004874B3">
        <w:rPr>
          <w:rFonts w:ascii="Times New Roman" w:eastAsia="Times New Roman" w:hAnsi="Times New Roman" w:cs="Times New Roman"/>
          <w:color w:val="222222"/>
          <w:sz w:val="20"/>
          <w:szCs w:val="20"/>
        </w:rPr>
        <w:t xml:space="preserve">, </w:t>
      </w:r>
      <w:r w:rsidRPr="004874B3">
        <w:rPr>
          <w:rFonts w:ascii="Times New Roman" w:eastAsia="Times New Roman" w:hAnsi="Times New Roman" w:cs="Times New Roman"/>
          <w:i/>
          <w:iCs/>
          <w:color w:val="222222"/>
          <w:sz w:val="20"/>
          <w:szCs w:val="20"/>
        </w:rPr>
        <w:t>3</w:t>
      </w:r>
      <w:r w:rsidRPr="004874B3">
        <w:rPr>
          <w:rFonts w:ascii="Times New Roman" w:eastAsia="Times New Roman" w:hAnsi="Times New Roman" w:cs="Times New Roman"/>
          <w:color w:val="222222"/>
          <w:sz w:val="20"/>
          <w:szCs w:val="20"/>
        </w:rPr>
        <w:t>(7), pp.836-843.</w:t>
      </w:r>
    </w:p>
    <w:p w14:paraId="717183BA" w14:textId="77777777" w:rsidR="0061647F" w:rsidRPr="004874B3" w:rsidRDefault="006D77AA">
      <w:pPr>
        <w:numPr>
          <w:ilvl w:val="0"/>
          <w:numId w:val="1"/>
        </w:numPr>
        <w:jc w:val="both"/>
        <w:rPr>
          <w:rFonts w:ascii="Times New Roman" w:eastAsia="Times New Roman" w:hAnsi="Times New Roman" w:cs="Times New Roman"/>
          <w:color w:val="222222"/>
          <w:sz w:val="20"/>
          <w:szCs w:val="20"/>
        </w:rPr>
      </w:pPr>
      <w:proofErr w:type="spellStart"/>
      <w:r w:rsidRPr="004874B3">
        <w:rPr>
          <w:rFonts w:ascii="Times New Roman" w:eastAsia="Times New Roman" w:hAnsi="Times New Roman" w:cs="Times New Roman"/>
          <w:color w:val="222222"/>
          <w:sz w:val="20"/>
          <w:szCs w:val="20"/>
          <w:highlight w:val="white"/>
        </w:rPr>
        <w:t>Trifinopoulos</w:t>
      </w:r>
      <w:proofErr w:type="spellEnd"/>
      <w:r w:rsidRPr="004874B3">
        <w:rPr>
          <w:rFonts w:ascii="Times New Roman" w:eastAsia="Times New Roman" w:hAnsi="Times New Roman" w:cs="Times New Roman"/>
          <w:color w:val="222222"/>
          <w:sz w:val="20"/>
          <w:szCs w:val="20"/>
          <w:highlight w:val="white"/>
        </w:rPr>
        <w:t xml:space="preserve">, J., Nguyen, L.T., von Haeseler, A. and Minh, B.Q., 2016. W-IQ-TREE: a fast online phylogenetic tool for maximum likelihood analysis. </w:t>
      </w:r>
      <w:r w:rsidRPr="004874B3">
        <w:rPr>
          <w:rFonts w:ascii="Times New Roman" w:eastAsia="Times New Roman" w:hAnsi="Times New Roman" w:cs="Times New Roman"/>
          <w:i/>
          <w:iCs/>
          <w:color w:val="222222"/>
          <w:sz w:val="20"/>
          <w:szCs w:val="20"/>
        </w:rPr>
        <w:t>Nucleic acids research</w:t>
      </w:r>
      <w:r w:rsidRPr="004874B3">
        <w:rPr>
          <w:rFonts w:ascii="Times New Roman" w:eastAsia="Times New Roman" w:hAnsi="Times New Roman" w:cs="Times New Roman"/>
          <w:color w:val="222222"/>
          <w:sz w:val="20"/>
          <w:szCs w:val="20"/>
        </w:rPr>
        <w:t xml:space="preserve">, </w:t>
      </w:r>
      <w:r w:rsidRPr="004874B3">
        <w:rPr>
          <w:rFonts w:ascii="Times New Roman" w:eastAsia="Times New Roman" w:hAnsi="Times New Roman" w:cs="Times New Roman"/>
          <w:i/>
          <w:iCs/>
          <w:color w:val="222222"/>
          <w:sz w:val="20"/>
          <w:szCs w:val="20"/>
        </w:rPr>
        <w:t>44</w:t>
      </w:r>
      <w:r w:rsidRPr="004874B3">
        <w:rPr>
          <w:rFonts w:ascii="Times New Roman" w:eastAsia="Times New Roman" w:hAnsi="Times New Roman" w:cs="Times New Roman"/>
          <w:color w:val="222222"/>
          <w:sz w:val="20"/>
          <w:szCs w:val="20"/>
        </w:rPr>
        <w:t xml:space="preserve">(W1), </w:t>
      </w:r>
      <w:proofErr w:type="gramStart"/>
      <w:r w:rsidRPr="004874B3">
        <w:rPr>
          <w:rFonts w:ascii="Times New Roman" w:eastAsia="Times New Roman" w:hAnsi="Times New Roman" w:cs="Times New Roman"/>
          <w:color w:val="222222"/>
          <w:sz w:val="20"/>
          <w:szCs w:val="20"/>
        </w:rPr>
        <w:t>pp.W</w:t>
      </w:r>
      <w:proofErr w:type="gramEnd"/>
      <w:r w:rsidRPr="004874B3">
        <w:rPr>
          <w:rFonts w:ascii="Times New Roman" w:eastAsia="Times New Roman" w:hAnsi="Times New Roman" w:cs="Times New Roman"/>
          <w:color w:val="222222"/>
          <w:sz w:val="20"/>
          <w:szCs w:val="20"/>
        </w:rPr>
        <w:t>232-W235.</w:t>
      </w:r>
    </w:p>
    <w:p w14:paraId="2AD77760" w14:textId="77777777" w:rsidR="0061647F" w:rsidRPr="004874B3" w:rsidRDefault="006D77AA">
      <w:pPr>
        <w:numPr>
          <w:ilvl w:val="0"/>
          <w:numId w:val="1"/>
        </w:numPr>
        <w:jc w:val="both"/>
        <w:rPr>
          <w:rFonts w:ascii="Times New Roman" w:eastAsia="Times New Roman" w:hAnsi="Times New Roman" w:cs="Times New Roman"/>
          <w:color w:val="222222"/>
          <w:sz w:val="20"/>
          <w:szCs w:val="20"/>
        </w:rPr>
      </w:pPr>
      <w:r w:rsidRPr="004874B3">
        <w:rPr>
          <w:rFonts w:ascii="Times New Roman" w:eastAsia="Times New Roman" w:hAnsi="Times New Roman" w:cs="Times New Roman"/>
          <w:color w:val="222222"/>
          <w:sz w:val="20"/>
          <w:szCs w:val="20"/>
        </w:rPr>
        <w:t xml:space="preserve">Vilardi, K.J., Cotto, I., Sevillano, M., Dai, Z., Anderson, C.L. and Pinto, A., 2022. Comammox Nitrospira bacteria outnumber canonical nitrifiers irrespective of electron donor mode and availability in biofiltration systems. FEMS Microbiology Ecology, 98(4), </w:t>
      </w:r>
      <w:proofErr w:type="gramStart"/>
      <w:r w:rsidRPr="004874B3">
        <w:rPr>
          <w:rFonts w:ascii="Times New Roman" w:eastAsia="Times New Roman" w:hAnsi="Times New Roman" w:cs="Times New Roman"/>
          <w:color w:val="222222"/>
          <w:sz w:val="20"/>
          <w:szCs w:val="20"/>
        </w:rPr>
        <w:t>p.fiac</w:t>
      </w:r>
      <w:proofErr w:type="gramEnd"/>
      <w:r w:rsidRPr="004874B3">
        <w:rPr>
          <w:rFonts w:ascii="Times New Roman" w:eastAsia="Times New Roman" w:hAnsi="Times New Roman" w:cs="Times New Roman"/>
          <w:color w:val="222222"/>
          <w:sz w:val="20"/>
          <w:szCs w:val="20"/>
        </w:rPr>
        <w:t>032.</w:t>
      </w:r>
    </w:p>
    <w:p w14:paraId="270B5AA5" w14:textId="77777777" w:rsidR="0061647F" w:rsidRPr="004874B3" w:rsidRDefault="006D77AA">
      <w:pPr>
        <w:numPr>
          <w:ilvl w:val="0"/>
          <w:numId w:val="1"/>
        </w:numPr>
        <w:jc w:val="both"/>
        <w:rPr>
          <w:rFonts w:ascii="Times New Roman" w:eastAsia="Times New Roman" w:hAnsi="Times New Roman" w:cs="Times New Roman"/>
          <w:color w:val="222222"/>
          <w:sz w:val="20"/>
          <w:szCs w:val="20"/>
        </w:rPr>
      </w:pPr>
      <w:r w:rsidRPr="004874B3">
        <w:rPr>
          <w:rFonts w:ascii="Times New Roman" w:eastAsia="Times New Roman" w:hAnsi="Times New Roman" w:cs="Times New Roman"/>
          <w:color w:val="222222"/>
          <w:sz w:val="20"/>
          <w:szCs w:val="20"/>
        </w:rPr>
        <w:t xml:space="preserve">Vosloo, S., Huo, L., Anderson, C.L., Dai, Z., Sevillano, M. and Pinto, A., 2021. Evaluating de Novo Assembly and Binning Strategies for Time Series Drinking Water Metagenomes. Microbiology spectrum, 9(3), </w:t>
      </w:r>
      <w:proofErr w:type="gramStart"/>
      <w:r w:rsidRPr="004874B3">
        <w:rPr>
          <w:rFonts w:ascii="Times New Roman" w:eastAsia="Times New Roman" w:hAnsi="Times New Roman" w:cs="Times New Roman"/>
          <w:color w:val="222222"/>
          <w:sz w:val="20"/>
          <w:szCs w:val="20"/>
        </w:rPr>
        <w:t>pp.e</w:t>
      </w:r>
      <w:proofErr w:type="gramEnd"/>
      <w:r w:rsidRPr="004874B3">
        <w:rPr>
          <w:rFonts w:ascii="Times New Roman" w:eastAsia="Times New Roman" w:hAnsi="Times New Roman" w:cs="Times New Roman"/>
          <w:color w:val="222222"/>
          <w:sz w:val="20"/>
          <w:szCs w:val="20"/>
        </w:rPr>
        <w:t>01434-21.</w:t>
      </w:r>
    </w:p>
    <w:p w14:paraId="79A12B54" w14:textId="77777777" w:rsidR="0061647F" w:rsidRPr="004874B3" w:rsidRDefault="006D77AA">
      <w:pPr>
        <w:numPr>
          <w:ilvl w:val="0"/>
          <w:numId w:val="1"/>
        </w:numPr>
        <w:jc w:val="both"/>
        <w:rPr>
          <w:rFonts w:ascii="Times New Roman" w:eastAsia="Times New Roman" w:hAnsi="Times New Roman" w:cs="Times New Roman"/>
          <w:color w:val="222222"/>
          <w:sz w:val="20"/>
          <w:szCs w:val="20"/>
        </w:rPr>
        <w:sectPr w:rsidR="0061647F" w:rsidRPr="004874B3">
          <w:footerReference w:type="default" r:id="rId8"/>
          <w:pgSz w:w="12240" w:h="15840"/>
          <w:pgMar w:top="1440" w:right="1440" w:bottom="1440" w:left="1440" w:header="720" w:footer="720" w:gutter="0"/>
          <w:pgNumType w:start="1"/>
          <w:cols w:space="720"/>
        </w:sectPr>
      </w:pPr>
      <w:r w:rsidRPr="004874B3">
        <w:rPr>
          <w:rFonts w:ascii="Times New Roman" w:eastAsia="Times New Roman" w:hAnsi="Times New Roman" w:cs="Times New Roman"/>
          <w:color w:val="222222"/>
          <w:sz w:val="20"/>
          <w:szCs w:val="20"/>
        </w:rPr>
        <w:t xml:space="preserve">Wu, Y.W., Simmons, B.A. and Singer, S.W., 2016. </w:t>
      </w:r>
      <w:proofErr w:type="spellStart"/>
      <w:r w:rsidRPr="004874B3">
        <w:rPr>
          <w:rFonts w:ascii="Times New Roman" w:eastAsia="Times New Roman" w:hAnsi="Times New Roman" w:cs="Times New Roman"/>
          <w:color w:val="222222"/>
          <w:sz w:val="20"/>
          <w:szCs w:val="20"/>
        </w:rPr>
        <w:t>MaxBin</w:t>
      </w:r>
      <w:proofErr w:type="spellEnd"/>
      <w:r w:rsidRPr="004874B3">
        <w:rPr>
          <w:rFonts w:ascii="Times New Roman" w:eastAsia="Times New Roman" w:hAnsi="Times New Roman" w:cs="Times New Roman"/>
          <w:color w:val="222222"/>
          <w:sz w:val="20"/>
          <w:szCs w:val="20"/>
        </w:rPr>
        <w:t xml:space="preserve"> 2.0: an automated binning algorithm to recover genomes from multiple metagenomic datasets. Bioinformatics, 32(4), pp.605-607.</w:t>
      </w:r>
    </w:p>
    <w:p w14:paraId="370828FB" w14:textId="77777777" w:rsidR="0061647F" w:rsidRPr="004874B3" w:rsidRDefault="006D77AA">
      <w:pPr>
        <w:pStyle w:val="Heading1"/>
        <w:rPr>
          <w:sz w:val="24"/>
          <w:szCs w:val="24"/>
        </w:rPr>
      </w:pPr>
      <w:bookmarkStart w:id="7" w:name="_heading=h.75ersofvfanb" w:colFirst="0" w:colLast="0"/>
      <w:bookmarkEnd w:id="7"/>
      <w:r w:rsidRPr="004874B3">
        <w:rPr>
          <w:sz w:val="24"/>
          <w:szCs w:val="24"/>
        </w:rPr>
        <w:lastRenderedPageBreak/>
        <w:t>Supplemental figures</w:t>
      </w:r>
    </w:p>
    <w:p w14:paraId="4F18FB93" w14:textId="77777777" w:rsidR="0061647F" w:rsidRPr="004874B3" w:rsidRDefault="006D77AA">
      <w:pPr>
        <w:spacing w:after="120" w:line="360" w:lineRule="auto"/>
        <w:jc w:val="center"/>
        <w:rPr>
          <w:rFonts w:ascii="Times New Roman" w:eastAsia="Times New Roman" w:hAnsi="Times New Roman" w:cs="Times New Roman"/>
          <w:sz w:val="24"/>
          <w:szCs w:val="24"/>
        </w:rPr>
      </w:pPr>
      <w:r w:rsidRPr="004874B3">
        <w:rPr>
          <w:rFonts w:ascii="Times New Roman" w:eastAsia="Times New Roman" w:hAnsi="Times New Roman" w:cs="Times New Roman"/>
          <w:noProof/>
          <w:sz w:val="24"/>
          <w:szCs w:val="24"/>
        </w:rPr>
        <w:drawing>
          <wp:inline distT="114300" distB="114300" distL="114300" distR="114300" wp14:anchorId="65F8292E" wp14:editId="7C50AEF0">
            <wp:extent cx="6519863" cy="4702515"/>
            <wp:effectExtent l="0" t="0" r="0" b="0"/>
            <wp:docPr id="25"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9"/>
                    <a:srcRect/>
                    <a:stretch>
                      <a:fillRect/>
                    </a:stretch>
                  </pic:blipFill>
                  <pic:spPr>
                    <a:xfrm>
                      <a:off x="0" y="0"/>
                      <a:ext cx="6519863" cy="4702515"/>
                    </a:xfrm>
                    <a:prstGeom prst="rect">
                      <a:avLst/>
                    </a:prstGeom>
                    <a:ln/>
                  </pic:spPr>
                </pic:pic>
              </a:graphicData>
            </a:graphic>
          </wp:inline>
        </w:drawing>
      </w:r>
    </w:p>
    <w:p w14:paraId="0C7820CE" w14:textId="3D4A0DF4" w:rsidR="0061647F" w:rsidRPr="004874B3" w:rsidRDefault="006D77AA">
      <w:pPr>
        <w:spacing w:line="360" w:lineRule="auto"/>
        <w:jc w:val="both"/>
        <w:rPr>
          <w:rFonts w:ascii="Times New Roman" w:eastAsia="Times New Roman" w:hAnsi="Times New Roman" w:cs="Times New Roman"/>
          <w:sz w:val="24"/>
          <w:szCs w:val="24"/>
        </w:rPr>
      </w:pPr>
      <w:r w:rsidRPr="004874B3">
        <w:rPr>
          <w:rFonts w:ascii="Times New Roman" w:eastAsia="Times New Roman" w:hAnsi="Times New Roman" w:cs="Times New Roman"/>
          <w:b/>
          <w:bCs/>
          <w:sz w:val="24"/>
          <w:szCs w:val="24"/>
        </w:rPr>
        <w:t>Fig. S1</w:t>
      </w:r>
      <w:r w:rsidRPr="004874B3">
        <w:rPr>
          <w:rFonts w:ascii="Times New Roman" w:eastAsia="Times New Roman" w:hAnsi="Times New Roman" w:cs="Times New Roman"/>
          <w:sz w:val="24"/>
          <w:szCs w:val="24"/>
        </w:rPr>
        <w:t xml:space="preserve">: Metagenomic sequence processing workflow adapted from Vosloo </w:t>
      </w:r>
      <w:r w:rsidRPr="004874B3">
        <w:rPr>
          <w:rFonts w:ascii="Times New Roman" w:eastAsia="Times New Roman" w:hAnsi="Times New Roman" w:cs="Times New Roman"/>
          <w:i/>
          <w:iCs/>
          <w:sz w:val="24"/>
          <w:szCs w:val="24"/>
        </w:rPr>
        <w:t>et al</w:t>
      </w:r>
      <w:r w:rsidRPr="004874B3">
        <w:rPr>
          <w:rFonts w:ascii="Times New Roman" w:eastAsia="Times New Roman" w:hAnsi="Times New Roman" w:cs="Times New Roman"/>
          <w:sz w:val="24"/>
          <w:szCs w:val="24"/>
        </w:rPr>
        <w:t xml:space="preserve">., 2021. Workflow including preprocessing and MASH-based distance analysis, assembly (MetaSPAdes), and binning (CONCOCT, </w:t>
      </w:r>
      <w:proofErr w:type="spellStart"/>
      <w:r w:rsidRPr="004874B3">
        <w:rPr>
          <w:rFonts w:ascii="Times New Roman" w:eastAsia="Times New Roman" w:hAnsi="Times New Roman" w:cs="Times New Roman"/>
          <w:sz w:val="24"/>
          <w:szCs w:val="24"/>
        </w:rPr>
        <w:t>MetaBAT</w:t>
      </w:r>
      <w:proofErr w:type="spellEnd"/>
      <w:r w:rsidRPr="004874B3">
        <w:rPr>
          <w:rFonts w:ascii="Times New Roman" w:eastAsia="Times New Roman" w:hAnsi="Times New Roman" w:cs="Times New Roman"/>
          <w:sz w:val="24"/>
          <w:szCs w:val="24"/>
        </w:rPr>
        <w:t xml:space="preserve">, </w:t>
      </w:r>
      <w:proofErr w:type="spellStart"/>
      <w:r w:rsidRPr="004874B3">
        <w:rPr>
          <w:rFonts w:ascii="Times New Roman" w:eastAsia="Times New Roman" w:hAnsi="Times New Roman" w:cs="Times New Roman"/>
          <w:sz w:val="24"/>
          <w:szCs w:val="24"/>
        </w:rPr>
        <w:t>MaxBIN</w:t>
      </w:r>
      <w:proofErr w:type="spellEnd"/>
      <w:r w:rsidRPr="004874B3">
        <w:rPr>
          <w:rFonts w:ascii="Times New Roman" w:eastAsia="Times New Roman" w:hAnsi="Times New Roman" w:cs="Times New Roman"/>
          <w:sz w:val="24"/>
          <w:szCs w:val="24"/>
        </w:rPr>
        <w:t xml:space="preserve">, and DAS Tool), followed by </w:t>
      </w:r>
      <w:r w:rsidRPr="004874B3">
        <w:rPr>
          <w:rFonts w:ascii="Times New Roman" w:eastAsia="Times New Roman" w:hAnsi="Times New Roman" w:cs="Times New Roman"/>
          <w:sz w:val="24"/>
          <w:szCs w:val="24"/>
        </w:rPr>
        <w:lastRenderedPageBreak/>
        <w:t>reassembly (</w:t>
      </w:r>
      <w:proofErr w:type="spellStart"/>
      <w:r w:rsidRPr="004874B3">
        <w:rPr>
          <w:rFonts w:ascii="Times New Roman" w:eastAsia="Times New Roman" w:hAnsi="Times New Roman" w:cs="Times New Roman"/>
          <w:sz w:val="24"/>
          <w:szCs w:val="24"/>
        </w:rPr>
        <w:t>MetaSPAdes</w:t>
      </w:r>
      <w:proofErr w:type="spellEnd"/>
      <w:r w:rsidRPr="004874B3">
        <w:rPr>
          <w:rFonts w:ascii="Times New Roman" w:eastAsia="Times New Roman" w:hAnsi="Times New Roman" w:cs="Times New Roman"/>
          <w:sz w:val="24"/>
          <w:szCs w:val="24"/>
        </w:rPr>
        <w:t xml:space="preserve">), binning (CONCOCT, </w:t>
      </w:r>
      <w:proofErr w:type="spellStart"/>
      <w:r w:rsidRPr="004874B3">
        <w:rPr>
          <w:rFonts w:ascii="Times New Roman" w:eastAsia="Times New Roman" w:hAnsi="Times New Roman" w:cs="Times New Roman"/>
          <w:sz w:val="24"/>
          <w:szCs w:val="24"/>
        </w:rPr>
        <w:t>MetaBAT</w:t>
      </w:r>
      <w:proofErr w:type="spellEnd"/>
      <w:r w:rsidRPr="004874B3">
        <w:rPr>
          <w:rFonts w:ascii="Times New Roman" w:eastAsia="Times New Roman" w:hAnsi="Times New Roman" w:cs="Times New Roman"/>
          <w:sz w:val="24"/>
          <w:szCs w:val="24"/>
        </w:rPr>
        <w:t>, and DAS Tool), and manual refinement (</w:t>
      </w:r>
      <w:proofErr w:type="spellStart"/>
      <w:r w:rsidRPr="004874B3">
        <w:rPr>
          <w:rFonts w:ascii="Times New Roman" w:eastAsia="Times New Roman" w:hAnsi="Times New Roman" w:cs="Times New Roman"/>
          <w:sz w:val="24"/>
          <w:szCs w:val="24"/>
        </w:rPr>
        <w:t>Anvio</w:t>
      </w:r>
      <w:proofErr w:type="spellEnd"/>
      <w:r w:rsidRPr="004874B3">
        <w:rPr>
          <w:rFonts w:ascii="Times New Roman" w:eastAsia="Times New Roman" w:hAnsi="Times New Roman" w:cs="Times New Roman"/>
          <w:sz w:val="24"/>
          <w:szCs w:val="24"/>
        </w:rPr>
        <w:t>). Source: Potgieter et al. (2025). © The Water Research Foundation.</w:t>
      </w:r>
    </w:p>
    <w:p w14:paraId="778F2F9C" w14:textId="77777777" w:rsidR="0061647F" w:rsidRPr="004874B3" w:rsidRDefault="0061647F">
      <w:pPr>
        <w:spacing w:line="360" w:lineRule="auto"/>
        <w:jc w:val="both"/>
        <w:rPr>
          <w:rFonts w:ascii="Times New Roman" w:eastAsia="Times New Roman" w:hAnsi="Times New Roman" w:cs="Times New Roman"/>
          <w:sz w:val="24"/>
          <w:szCs w:val="24"/>
        </w:rPr>
      </w:pPr>
    </w:p>
    <w:p w14:paraId="4B227D64" w14:textId="77777777" w:rsidR="0061647F" w:rsidRPr="004874B3" w:rsidRDefault="006D77AA">
      <w:pPr>
        <w:spacing w:line="360" w:lineRule="auto"/>
        <w:jc w:val="center"/>
        <w:rPr>
          <w:rFonts w:ascii="Times New Roman" w:eastAsia="Times New Roman" w:hAnsi="Times New Roman" w:cs="Times New Roman"/>
          <w:sz w:val="24"/>
          <w:szCs w:val="24"/>
        </w:rPr>
      </w:pPr>
      <w:r w:rsidRPr="004874B3">
        <w:rPr>
          <w:rFonts w:ascii="Times New Roman" w:eastAsia="Times New Roman" w:hAnsi="Times New Roman" w:cs="Times New Roman"/>
          <w:noProof/>
          <w:sz w:val="24"/>
          <w:szCs w:val="24"/>
        </w:rPr>
        <w:drawing>
          <wp:inline distT="114300" distB="114300" distL="114300" distR="114300" wp14:anchorId="3E54163D" wp14:editId="3AE5EF1D">
            <wp:extent cx="5821846" cy="3719513"/>
            <wp:effectExtent l="0" t="0" r="0" b="0"/>
            <wp:docPr id="27"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0"/>
                    <a:srcRect/>
                    <a:stretch>
                      <a:fillRect/>
                    </a:stretch>
                  </pic:blipFill>
                  <pic:spPr>
                    <a:xfrm>
                      <a:off x="0" y="0"/>
                      <a:ext cx="5821846" cy="3719513"/>
                    </a:xfrm>
                    <a:prstGeom prst="rect">
                      <a:avLst/>
                    </a:prstGeom>
                    <a:ln/>
                  </pic:spPr>
                </pic:pic>
              </a:graphicData>
            </a:graphic>
          </wp:inline>
        </w:drawing>
      </w:r>
    </w:p>
    <w:p w14:paraId="053139C7" w14:textId="4E7DC383" w:rsidR="0061647F" w:rsidRPr="004874B3" w:rsidRDefault="006D77AA">
      <w:pPr>
        <w:spacing w:line="360" w:lineRule="auto"/>
        <w:jc w:val="both"/>
        <w:rPr>
          <w:rFonts w:ascii="Times New Roman" w:eastAsia="Times New Roman" w:hAnsi="Times New Roman" w:cs="Times New Roman"/>
          <w:sz w:val="24"/>
          <w:szCs w:val="24"/>
        </w:rPr>
      </w:pPr>
      <w:r w:rsidRPr="004874B3">
        <w:rPr>
          <w:rFonts w:ascii="Times New Roman" w:eastAsia="Times New Roman" w:hAnsi="Times New Roman" w:cs="Times New Roman"/>
          <w:b/>
          <w:bCs/>
          <w:sz w:val="24"/>
          <w:szCs w:val="24"/>
        </w:rPr>
        <w:t>Fig. S2</w:t>
      </w:r>
      <w:r w:rsidRPr="004874B3">
        <w:rPr>
          <w:rFonts w:ascii="Times New Roman" w:eastAsia="Times New Roman" w:hAnsi="Times New Roman" w:cs="Times New Roman"/>
          <w:sz w:val="24"/>
          <w:szCs w:val="24"/>
        </w:rPr>
        <w:t xml:space="preserve">: Bubble plot showing the number of unrefined bins with completeness &gt; 50% and their mean mapping rate for the different binning tools (i.e., CONCOCT, DAS Tool, </w:t>
      </w:r>
      <w:proofErr w:type="spellStart"/>
      <w:r w:rsidRPr="004874B3">
        <w:rPr>
          <w:rFonts w:ascii="Times New Roman" w:eastAsia="Times New Roman" w:hAnsi="Times New Roman" w:cs="Times New Roman"/>
          <w:sz w:val="24"/>
          <w:szCs w:val="24"/>
        </w:rPr>
        <w:t>MaxBin</w:t>
      </w:r>
      <w:proofErr w:type="spellEnd"/>
      <w:r w:rsidRPr="004874B3">
        <w:rPr>
          <w:rFonts w:ascii="Times New Roman" w:eastAsia="Times New Roman" w:hAnsi="Times New Roman" w:cs="Times New Roman"/>
          <w:sz w:val="24"/>
          <w:szCs w:val="24"/>
        </w:rPr>
        <w:t xml:space="preserve">, and </w:t>
      </w:r>
      <w:proofErr w:type="spellStart"/>
      <w:r w:rsidRPr="004874B3">
        <w:rPr>
          <w:rFonts w:ascii="Times New Roman" w:eastAsia="Times New Roman" w:hAnsi="Times New Roman" w:cs="Times New Roman"/>
          <w:sz w:val="24"/>
          <w:szCs w:val="24"/>
        </w:rPr>
        <w:t>MetaBAT</w:t>
      </w:r>
      <w:proofErr w:type="spellEnd"/>
      <w:r w:rsidRPr="004874B3">
        <w:rPr>
          <w:rFonts w:ascii="Times New Roman" w:eastAsia="Times New Roman" w:hAnsi="Times New Roman" w:cs="Times New Roman"/>
          <w:sz w:val="24"/>
          <w:szCs w:val="24"/>
        </w:rPr>
        <w:t>) resulting from original assembly (circles) and reassembly (triangles). Circle and triangle sizes indicate the percentage mean redundancy across all bins. Bin sets indicated with a star show those selected for further manual refinement. Source: Potgieter et al. (2025). © The Water Research Foundation.</w:t>
      </w:r>
    </w:p>
    <w:p w14:paraId="4C822F9B" w14:textId="77777777" w:rsidR="0061647F" w:rsidRPr="004874B3" w:rsidRDefault="0061647F">
      <w:pPr>
        <w:spacing w:line="360" w:lineRule="auto"/>
        <w:jc w:val="both"/>
        <w:rPr>
          <w:rFonts w:ascii="Times New Roman" w:eastAsia="Times New Roman" w:hAnsi="Times New Roman" w:cs="Times New Roman"/>
          <w:sz w:val="24"/>
          <w:szCs w:val="24"/>
        </w:rPr>
      </w:pPr>
    </w:p>
    <w:p w14:paraId="39691C82" w14:textId="77777777" w:rsidR="0061647F" w:rsidRPr="004874B3" w:rsidRDefault="0061647F">
      <w:pPr>
        <w:spacing w:line="360" w:lineRule="auto"/>
        <w:jc w:val="both"/>
        <w:rPr>
          <w:rFonts w:ascii="Times New Roman" w:eastAsia="Times New Roman" w:hAnsi="Times New Roman" w:cs="Times New Roman"/>
          <w:sz w:val="24"/>
          <w:szCs w:val="24"/>
        </w:rPr>
      </w:pPr>
    </w:p>
    <w:p w14:paraId="107780D8" w14:textId="77777777" w:rsidR="0061647F" w:rsidRPr="004874B3" w:rsidRDefault="0061647F">
      <w:pPr>
        <w:spacing w:line="360" w:lineRule="auto"/>
        <w:jc w:val="both"/>
        <w:rPr>
          <w:rFonts w:ascii="Times New Roman" w:eastAsia="Times New Roman" w:hAnsi="Times New Roman" w:cs="Times New Roman"/>
          <w:sz w:val="24"/>
          <w:szCs w:val="24"/>
        </w:rPr>
      </w:pPr>
    </w:p>
    <w:p w14:paraId="53969B3C" w14:textId="77777777" w:rsidR="0061647F" w:rsidRPr="004874B3" w:rsidRDefault="006D77AA">
      <w:pPr>
        <w:pStyle w:val="Heading1"/>
        <w:jc w:val="center"/>
        <w:rPr>
          <w:sz w:val="24"/>
          <w:szCs w:val="24"/>
        </w:rPr>
      </w:pPr>
      <w:bookmarkStart w:id="8" w:name="_heading=h.72i7l161v1pn" w:colFirst="0" w:colLast="0"/>
      <w:bookmarkEnd w:id="8"/>
      <w:r w:rsidRPr="004874B3">
        <w:rPr>
          <w:noProof/>
          <w:sz w:val="24"/>
          <w:szCs w:val="24"/>
        </w:rPr>
        <w:drawing>
          <wp:inline distT="114300" distB="114300" distL="114300" distR="114300" wp14:anchorId="2212F3EB" wp14:editId="4C2443AE">
            <wp:extent cx="6795689" cy="4214813"/>
            <wp:effectExtent l="0" t="0" r="0" b="0"/>
            <wp:docPr id="26" name="image6.png"/>
            <wp:cNvGraphicFramePr/>
            <a:graphic xmlns:a="http://schemas.openxmlformats.org/drawingml/2006/main">
              <a:graphicData uri="http://schemas.openxmlformats.org/drawingml/2006/picture">
                <pic:pic xmlns:pic="http://schemas.openxmlformats.org/drawingml/2006/picture">
                  <pic:nvPicPr>
                    <pic:cNvPr id="0" name="image6.png"/>
                    <pic:cNvPicPr preferRelativeResize="0"/>
                  </pic:nvPicPr>
                  <pic:blipFill>
                    <a:blip r:embed="rId11"/>
                    <a:srcRect/>
                    <a:stretch>
                      <a:fillRect/>
                    </a:stretch>
                  </pic:blipFill>
                  <pic:spPr>
                    <a:xfrm>
                      <a:off x="0" y="0"/>
                      <a:ext cx="6795689" cy="4214813"/>
                    </a:xfrm>
                    <a:prstGeom prst="rect">
                      <a:avLst/>
                    </a:prstGeom>
                    <a:ln/>
                  </pic:spPr>
                </pic:pic>
              </a:graphicData>
            </a:graphic>
          </wp:inline>
        </w:drawing>
      </w:r>
    </w:p>
    <w:p w14:paraId="53CE328C" w14:textId="77777777" w:rsidR="0061647F" w:rsidRPr="004874B3" w:rsidRDefault="006D77AA">
      <w:pPr>
        <w:spacing w:line="360" w:lineRule="auto"/>
        <w:jc w:val="both"/>
        <w:rPr>
          <w:rFonts w:ascii="Times New Roman" w:eastAsia="Times New Roman" w:hAnsi="Times New Roman" w:cs="Times New Roman"/>
          <w:sz w:val="24"/>
          <w:szCs w:val="24"/>
        </w:rPr>
        <w:sectPr w:rsidR="0061647F" w:rsidRPr="004874B3">
          <w:pgSz w:w="15840" w:h="12240" w:orient="landscape"/>
          <w:pgMar w:top="1440" w:right="1440" w:bottom="1440" w:left="1440" w:header="720" w:footer="720" w:gutter="0"/>
          <w:cols w:space="720"/>
        </w:sectPr>
      </w:pPr>
      <w:r w:rsidRPr="004874B3">
        <w:rPr>
          <w:rFonts w:ascii="Times New Roman" w:eastAsia="Times New Roman" w:hAnsi="Times New Roman" w:cs="Times New Roman"/>
          <w:b/>
          <w:bCs/>
          <w:sz w:val="24"/>
          <w:szCs w:val="24"/>
        </w:rPr>
        <w:t xml:space="preserve">Fig. S3: </w:t>
      </w:r>
      <w:r w:rsidRPr="004874B3">
        <w:rPr>
          <w:rFonts w:ascii="Times New Roman" w:eastAsia="Times New Roman" w:hAnsi="Times New Roman" w:cs="Times New Roman"/>
          <w:sz w:val="24"/>
          <w:szCs w:val="24"/>
        </w:rPr>
        <w:t>Nitrate concentrations (mg-N/L) throughout the year for each sample location. Samples were not collected in April and early May due to the COVID-19 pandemic. The limit of detection (LOD) for nitrate was 0.02 mg/L NO</w:t>
      </w:r>
      <w:r w:rsidRPr="004874B3">
        <w:rPr>
          <w:rFonts w:ascii="Times New Roman" w:eastAsia="Times New Roman" w:hAnsi="Times New Roman" w:cs="Times New Roman"/>
          <w:sz w:val="24"/>
          <w:szCs w:val="24"/>
          <w:vertAlign w:val="subscript"/>
        </w:rPr>
        <w:t>3</w:t>
      </w:r>
      <w:r w:rsidRPr="004874B3">
        <w:rPr>
          <w:rFonts w:ascii="Times New Roman" w:eastAsia="Times New Roman" w:hAnsi="Times New Roman" w:cs="Times New Roman"/>
          <w:sz w:val="24"/>
          <w:szCs w:val="24"/>
        </w:rPr>
        <w:t>-N (dashed black line). Total source refers to the nitrate concentrations in the combined surface water and groundwater source waters.</w:t>
      </w:r>
    </w:p>
    <w:p w14:paraId="28761853" w14:textId="77777777" w:rsidR="0061647F" w:rsidRPr="004874B3" w:rsidRDefault="006D77AA">
      <w:pPr>
        <w:spacing w:line="360" w:lineRule="auto"/>
        <w:jc w:val="both"/>
        <w:rPr>
          <w:rFonts w:ascii="Times New Roman" w:eastAsia="Times New Roman" w:hAnsi="Times New Roman" w:cs="Times New Roman"/>
          <w:sz w:val="24"/>
          <w:szCs w:val="24"/>
        </w:rPr>
      </w:pPr>
      <w:r w:rsidRPr="004874B3">
        <w:rPr>
          <w:rFonts w:ascii="Times New Roman" w:eastAsia="Times New Roman" w:hAnsi="Times New Roman" w:cs="Times New Roman"/>
          <w:noProof/>
          <w:sz w:val="24"/>
          <w:szCs w:val="24"/>
        </w:rPr>
        <w:lastRenderedPageBreak/>
        <w:drawing>
          <wp:inline distT="114300" distB="114300" distL="114300" distR="114300" wp14:anchorId="264544BA" wp14:editId="4A6A573B">
            <wp:extent cx="5024438" cy="4941934"/>
            <wp:effectExtent l="0" t="0" r="0" b="0"/>
            <wp:docPr id="29"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12"/>
                    <a:srcRect/>
                    <a:stretch>
                      <a:fillRect/>
                    </a:stretch>
                  </pic:blipFill>
                  <pic:spPr>
                    <a:xfrm>
                      <a:off x="0" y="0"/>
                      <a:ext cx="5024438" cy="4941934"/>
                    </a:xfrm>
                    <a:prstGeom prst="rect">
                      <a:avLst/>
                    </a:prstGeom>
                    <a:ln/>
                  </pic:spPr>
                </pic:pic>
              </a:graphicData>
            </a:graphic>
          </wp:inline>
        </w:drawing>
      </w:r>
    </w:p>
    <w:p w14:paraId="558FFE78" w14:textId="77777777" w:rsidR="0061647F" w:rsidRPr="004874B3" w:rsidRDefault="0061647F">
      <w:pPr>
        <w:spacing w:line="360" w:lineRule="auto"/>
        <w:jc w:val="both"/>
        <w:rPr>
          <w:rFonts w:ascii="Times New Roman" w:eastAsia="Times New Roman" w:hAnsi="Times New Roman" w:cs="Times New Roman"/>
          <w:sz w:val="24"/>
          <w:szCs w:val="24"/>
        </w:rPr>
      </w:pPr>
    </w:p>
    <w:p w14:paraId="10222507" w14:textId="78DBE80E" w:rsidR="0061647F" w:rsidRPr="004874B3" w:rsidRDefault="006D77AA">
      <w:pPr>
        <w:spacing w:line="360" w:lineRule="auto"/>
        <w:jc w:val="both"/>
        <w:rPr>
          <w:rFonts w:ascii="Times New Roman" w:eastAsia="Times New Roman" w:hAnsi="Times New Roman" w:cs="Times New Roman"/>
          <w:sz w:val="24"/>
          <w:szCs w:val="24"/>
        </w:rPr>
      </w:pPr>
      <w:bookmarkStart w:id="9" w:name="_heading=h.m5q876phiazo" w:colFirst="0" w:colLast="0"/>
      <w:bookmarkEnd w:id="9"/>
      <w:r w:rsidRPr="004874B3">
        <w:rPr>
          <w:rFonts w:ascii="Times New Roman" w:eastAsia="Times New Roman" w:hAnsi="Times New Roman" w:cs="Times New Roman"/>
          <w:b/>
          <w:bCs/>
          <w:sz w:val="24"/>
          <w:szCs w:val="24"/>
        </w:rPr>
        <w:t>Fig. S4:</w:t>
      </w:r>
      <w:r w:rsidRPr="004874B3">
        <w:rPr>
          <w:rFonts w:ascii="Times New Roman" w:eastAsia="Times New Roman" w:hAnsi="Times New Roman" w:cs="Times New Roman"/>
          <w:sz w:val="24"/>
          <w:szCs w:val="24"/>
        </w:rPr>
        <w:t xml:space="preserve"> Maximum likelihood tree based on </w:t>
      </w:r>
      <w:r w:rsidR="006B3148">
        <w:rPr>
          <w:rFonts w:ascii="Times New Roman" w:eastAsia="Times New Roman" w:hAnsi="Times New Roman" w:cs="Times New Roman"/>
          <w:sz w:val="24"/>
          <w:szCs w:val="24"/>
        </w:rPr>
        <w:t>the</w:t>
      </w:r>
      <w:r w:rsidRPr="004874B3">
        <w:rPr>
          <w:rFonts w:ascii="Times New Roman" w:eastAsia="Times New Roman" w:hAnsi="Times New Roman" w:cs="Times New Roman"/>
          <w:sz w:val="24"/>
          <w:szCs w:val="24"/>
        </w:rPr>
        <w:t xml:space="preserve"> ammonia monooxygenase subunit A (</w:t>
      </w:r>
      <w:r w:rsidRPr="004874B3">
        <w:rPr>
          <w:rFonts w:ascii="Times New Roman" w:eastAsia="Times New Roman" w:hAnsi="Times New Roman" w:cs="Times New Roman"/>
          <w:i/>
          <w:iCs/>
          <w:sz w:val="24"/>
          <w:szCs w:val="24"/>
        </w:rPr>
        <w:t>amoA</w:t>
      </w:r>
      <w:r w:rsidRPr="004874B3">
        <w:rPr>
          <w:rFonts w:ascii="Times New Roman" w:eastAsia="Times New Roman" w:hAnsi="Times New Roman" w:cs="Times New Roman"/>
          <w:sz w:val="24"/>
          <w:szCs w:val="24"/>
        </w:rPr>
        <w:t xml:space="preserve">) identified within the metagenomic dataset (contigs) and in the respective </w:t>
      </w:r>
      <w:r w:rsidRPr="004874B3">
        <w:rPr>
          <w:rFonts w:ascii="Times New Roman" w:eastAsia="Times New Roman" w:hAnsi="Times New Roman" w:cs="Times New Roman"/>
          <w:i/>
          <w:iCs/>
          <w:sz w:val="24"/>
          <w:szCs w:val="24"/>
        </w:rPr>
        <w:t xml:space="preserve">Nitrosomonas </w:t>
      </w:r>
      <w:r w:rsidRPr="004874B3">
        <w:rPr>
          <w:rFonts w:ascii="Times New Roman" w:eastAsia="Times New Roman" w:hAnsi="Times New Roman" w:cs="Times New Roman"/>
          <w:sz w:val="24"/>
          <w:szCs w:val="24"/>
        </w:rPr>
        <w:t>MAGs (bolded). Genes identified from this study are colored according to cluster, while reference genes are in black. Source: Potgieter et al. (2025). © The Water Research Foundation.</w:t>
      </w:r>
    </w:p>
    <w:p w14:paraId="08F33272" w14:textId="77777777" w:rsidR="0061647F" w:rsidRPr="004874B3" w:rsidRDefault="006D77AA">
      <w:pPr>
        <w:spacing w:line="360" w:lineRule="auto"/>
        <w:jc w:val="both"/>
        <w:rPr>
          <w:rFonts w:ascii="Times New Roman" w:eastAsia="Times New Roman" w:hAnsi="Times New Roman" w:cs="Times New Roman"/>
          <w:sz w:val="24"/>
          <w:szCs w:val="24"/>
        </w:rPr>
      </w:pPr>
      <w:r w:rsidRPr="004874B3">
        <w:rPr>
          <w:rFonts w:ascii="Times New Roman" w:eastAsia="Times New Roman" w:hAnsi="Times New Roman" w:cs="Times New Roman"/>
          <w:noProof/>
          <w:sz w:val="24"/>
          <w:szCs w:val="24"/>
        </w:rPr>
        <w:lastRenderedPageBreak/>
        <w:drawing>
          <wp:inline distT="114300" distB="114300" distL="114300" distR="114300" wp14:anchorId="6CA14D18" wp14:editId="031789AF">
            <wp:extent cx="4586288" cy="3803707"/>
            <wp:effectExtent l="0" t="0" r="0" b="0"/>
            <wp:docPr id="28"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13"/>
                    <a:srcRect/>
                    <a:stretch>
                      <a:fillRect/>
                    </a:stretch>
                  </pic:blipFill>
                  <pic:spPr>
                    <a:xfrm>
                      <a:off x="0" y="0"/>
                      <a:ext cx="4586288" cy="3803707"/>
                    </a:xfrm>
                    <a:prstGeom prst="rect">
                      <a:avLst/>
                    </a:prstGeom>
                    <a:ln/>
                  </pic:spPr>
                </pic:pic>
              </a:graphicData>
            </a:graphic>
          </wp:inline>
        </w:drawing>
      </w:r>
    </w:p>
    <w:p w14:paraId="74E2FC07" w14:textId="10A8B76B" w:rsidR="0061647F" w:rsidRPr="004874B3" w:rsidRDefault="006D77AA">
      <w:pPr>
        <w:spacing w:line="360" w:lineRule="auto"/>
        <w:jc w:val="both"/>
        <w:rPr>
          <w:rFonts w:ascii="Times New Roman" w:eastAsia="Times New Roman" w:hAnsi="Times New Roman" w:cs="Times New Roman"/>
          <w:sz w:val="24"/>
          <w:szCs w:val="24"/>
        </w:rPr>
      </w:pPr>
      <w:r w:rsidRPr="004874B3">
        <w:rPr>
          <w:rFonts w:ascii="Times New Roman" w:eastAsia="Times New Roman" w:hAnsi="Times New Roman" w:cs="Times New Roman"/>
          <w:b/>
          <w:bCs/>
          <w:sz w:val="24"/>
          <w:szCs w:val="24"/>
        </w:rPr>
        <w:t>Fig. S5:</w:t>
      </w:r>
      <w:r w:rsidRPr="004874B3">
        <w:rPr>
          <w:rFonts w:ascii="Times New Roman" w:eastAsia="Times New Roman" w:hAnsi="Times New Roman" w:cs="Times New Roman"/>
          <w:sz w:val="24"/>
          <w:szCs w:val="24"/>
        </w:rPr>
        <w:t xml:space="preserve"> Primer alignment of </w:t>
      </w:r>
      <w:r w:rsidRPr="004874B3">
        <w:rPr>
          <w:rFonts w:ascii="Times New Roman" w:eastAsia="Times New Roman" w:hAnsi="Times New Roman" w:cs="Times New Roman"/>
          <w:i/>
          <w:iCs/>
          <w:sz w:val="24"/>
          <w:szCs w:val="24"/>
        </w:rPr>
        <w:t xml:space="preserve">Nitrosomonas </w:t>
      </w:r>
      <w:r w:rsidRPr="004874B3">
        <w:rPr>
          <w:rFonts w:ascii="Times New Roman" w:eastAsia="Times New Roman" w:hAnsi="Times New Roman" w:cs="Times New Roman"/>
          <w:sz w:val="24"/>
          <w:szCs w:val="24"/>
        </w:rPr>
        <w:t>cluster 6a primer</w:t>
      </w:r>
      <w:r w:rsidR="006B3148">
        <w:rPr>
          <w:rFonts w:ascii="Times New Roman" w:eastAsia="Times New Roman" w:hAnsi="Times New Roman" w:cs="Times New Roman"/>
          <w:sz w:val="24"/>
          <w:szCs w:val="24"/>
        </w:rPr>
        <w:t xml:space="preserve"> (A, forward; B, reverse)</w:t>
      </w:r>
      <w:r w:rsidRPr="004874B3">
        <w:rPr>
          <w:rFonts w:ascii="Times New Roman" w:eastAsia="Times New Roman" w:hAnsi="Times New Roman" w:cs="Times New Roman"/>
          <w:sz w:val="24"/>
          <w:szCs w:val="24"/>
        </w:rPr>
        <w:t xml:space="preserve"> and probe </w:t>
      </w:r>
      <w:r w:rsidR="006B3148">
        <w:rPr>
          <w:rFonts w:ascii="Times New Roman" w:eastAsia="Times New Roman" w:hAnsi="Times New Roman" w:cs="Times New Roman"/>
          <w:sz w:val="24"/>
          <w:szCs w:val="24"/>
        </w:rPr>
        <w:t xml:space="preserve">(C) </w:t>
      </w:r>
      <w:r w:rsidRPr="004874B3">
        <w:rPr>
          <w:rFonts w:ascii="Times New Roman" w:eastAsia="Times New Roman" w:hAnsi="Times New Roman" w:cs="Times New Roman"/>
          <w:sz w:val="24"/>
          <w:szCs w:val="24"/>
        </w:rPr>
        <w:t xml:space="preserve">sequences (Harms et al., 2003; </w:t>
      </w:r>
      <w:proofErr w:type="spellStart"/>
      <w:r w:rsidRPr="004874B3">
        <w:rPr>
          <w:rFonts w:ascii="Times New Roman" w:eastAsia="Times New Roman" w:hAnsi="Times New Roman" w:cs="Times New Roman"/>
          <w:sz w:val="24"/>
          <w:szCs w:val="24"/>
        </w:rPr>
        <w:t>Orschler</w:t>
      </w:r>
      <w:proofErr w:type="spellEnd"/>
      <w:r w:rsidRPr="004874B3">
        <w:rPr>
          <w:rFonts w:ascii="Times New Roman" w:eastAsia="Times New Roman" w:hAnsi="Times New Roman" w:cs="Times New Roman"/>
          <w:sz w:val="24"/>
          <w:szCs w:val="24"/>
        </w:rPr>
        <w:t xml:space="preserve"> et al., 2019) with </w:t>
      </w:r>
      <w:r w:rsidRPr="004874B3">
        <w:rPr>
          <w:rFonts w:ascii="Times New Roman" w:eastAsia="Times New Roman" w:hAnsi="Times New Roman" w:cs="Times New Roman"/>
          <w:i/>
          <w:iCs/>
          <w:sz w:val="24"/>
          <w:szCs w:val="24"/>
        </w:rPr>
        <w:t>amoA</w:t>
      </w:r>
      <w:r w:rsidRPr="004874B3">
        <w:rPr>
          <w:rFonts w:ascii="Times New Roman" w:eastAsia="Times New Roman" w:hAnsi="Times New Roman" w:cs="Times New Roman"/>
          <w:sz w:val="24"/>
          <w:szCs w:val="24"/>
        </w:rPr>
        <w:t xml:space="preserve"> contigs identified as </w:t>
      </w:r>
      <w:r w:rsidRPr="004874B3">
        <w:rPr>
          <w:rFonts w:ascii="Times New Roman" w:eastAsia="Times New Roman" w:hAnsi="Times New Roman" w:cs="Times New Roman"/>
          <w:i/>
          <w:iCs/>
          <w:sz w:val="24"/>
          <w:szCs w:val="24"/>
        </w:rPr>
        <w:t xml:space="preserve">Nitrosomonas </w:t>
      </w:r>
      <w:r w:rsidRPr="004874B3">
        <w:rPr>
          <w:rFonts w:ascii="Times New Roman" w:eastAsia="Times New Roman" w:hAnsi="Times New Roman" w:cs="Times New Roman"/>
          <w:sz w:val="24"/>
          <w:szCs w:val="24"/>
        </w:rPr>
        <w:t>cluster 6a in Fig. S4. Percentage identities were 96.9% for the forward primer, 99.4% for the reverse primer, and 99.4% for the probe.</w:t>
      </w:r>
    </w:p>
    <w:p w14:paraId="42EB96B9" w14:textId="77777777" w:rsidR="0061647F" w:rsidRPr="004874B3" w:rsidRDefault="0061647F">
      <w:pPr>
        <w:spacing w:line="360" w:lineRule="auto"/>
        <w:jc w:val="both"/>
        <w:rPr>
          <w:rFonts w:ascii="Times New Roman" w:eastAsia="Times New Roman" w:hAnsi="Times New Roman" w:cs="Times New Roman"/>
          <w:sz w:val="24"/>
          <w:szCs w:val="24"/>
        </w:rPr>
      </w:pPr>
    </w:p>
    <w:p w14:paraId="63020C8C" w14:textId="77777777" w:rsidR="0061647F" w:rsidRPr="004874B3" w:rsidRDefault="006D77AA">
      <w:pPr>
        <w:spacing w:after="200" w:line="360" w:lineRule="auto"/>
        <w:jc w:val="both"/>
        <w:rPr>
          <w:rFonts w:ascii="Times New Roman" w:eastAsia="Times New Roman" w:hAnsi="Times New Roman" w:cs="Times New Roman"/>
          <w:sz w:val="24"/>
          <w:szCs w:val="24"/>
        </w:rPr>
      </w:pPr>
      <w:r w:rsidRPr="004874B3">
        <w:rPr>
          <w:rFonts w:ascii="Times New Roman" w:eastAsia="Times New Roman" w:hAnsi="Times New Roman" w:cs="Times New Roman"/>
          <w:noProof/>
          <w:sz w:val="24"/>
          <w:szCs w:val="24"/>
        </w:rPr>
        <w:lastRenderedPageBreak/>
        <w:drawing>
          <wp:inline distT="114300" distB="114300" distL="114300" distR="114300" wp14:anchorId="3909AAB5" wp14:editId="42E6BB12">
            <wp:extent cx="5320663" cy="7224713"/>
            <wp:effectExtent l="0" t="0" r="0" b="0"/>
            <wp:docPr id="22"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14"/>
                    <a:srcRect/>
                    <a:stretch>
                      <a:fillRect/>
                    </a:stretch>
                  </pic:blipFill>
                  <pic:spPr>
                    <a:xfrm>
                      <a:off x="0" y="0"/>
                      <a:ext cx="5320663" cy="7224713"/>
                    </a:xfrm>
                    <a:prstGeom prst="rect">
                      <a:avLst/>
                    </a:prstGeom>
                    <a:ln/>
                  </pic:spPr>
                </pic:pic>
              </a:graphicData>
            </a:graphic>
          </wp:inline>
        </w:drawing>
      </w:r>
    </w:p>
    <w:p w14:paraId="60A852CA" w14:textId="77777777" w:rsidR="0061647F" w:rsidRPr="004874B3" w:rsidRDefault="006D77AA">
      <w:pPr>
        <w:spacing w:line="360" w:lineRule="auto"/>
        <w:rPr>
          <w:rFonts w:ascii="Times New Roman" w:eastAsia="Times New Roman" w:hAnsi="Times New Roman" w:cs="Times New Roman"/>
          <w:sz w:val="24"/>
          <w:szCs w:val="24"/>
        </w:rPr>
      </w:pPr>
      <w:r w:rsidRPr="004874B3">
        <w:rPr>
          <w:rFonts w:ascii="Times New Roman" w:eastAsia="Times New Roman" w:hAnsi="Times New Roman" w:cs="Times New Roman"/>
          <w:b/>
          <w:bCs/>
          <w:sz w:val="24"/>
          <w:szCs w:val="24"/>
        </w:rPr>
        <w:t xml:space="preserve">Fig. S6: </w:t>
      </w:r>
      <w:r w:rsidRPr="004874B3">
        <w:rPr>
          <w:rFonts w:ascii="Times New Roman" w:eastAsia="Times New Roman" w:hAnsi="Times New Roman" w:cs="Times New Roman"/>
          <w:sz w:val="24"/>
          <w:szCs w:val="24"/>
        </w:rPr>
        <w:t xml:space="preserve">Correlation analyses using Kendall's rank correlation tau between the abundance of each </w:t>
      </w:r>
      <w:r w:rsidRPr="004874B3">
        <w:rPr>
          <w:rFonts w:ascii="Times New Roman" w:eastAsia="Times New Roman" w:hAnsi="Times New Roman" w:cs="Times New Roman"/>
          <w:i/>
          <w:iCs/>
          <w:sz w:val="24"/>
          <w:szCs w:val="24"/>
        </w:rPr>
        <w:t xml:space="preserve">Nitrosomonas </w:t>
      </w:r>
      <w:r w:rsidRPr="004874B3">
        <w:rPr>
          <w:rFonts w:ascii="Times New Roman" w:eastAsia="Times New Roman" w:hAnsi="Times New Roman" w:cs="Times New Roman"/>
          <w:sz w:val="24"/>
          <w:szCs w:val="24"/>
        </w:rPr>
        <w:t xml:space="preserve">MAG (copies/L) and (A) </w:t>
      </w:r>
      <w:r w:rsidRPr="004874B3">
        <w:rPr>
          <w:rFonts w:ascii="Times New Roman" w:eastAsia="Times New Roman" w:hAnsi="Times New Roman" w:cs="Times New Roman"/>
          <w:i/>
          <w:iCs/>
          <w:sz w:val="24"/>
          <w:szCs w:val="24"/>
        </w:rPr>
        <w:t>N. oligotropha amoA</w:t>
      </w:r>
      <w:r w:rsidRPr="004874B3">
        <w:rPr>
          <w:rFonts w:ascii="Times New Roman" w:eastAsia="Times New Roman" w:hAnsi="Times New Roman" w:cs="Times New Roman"/>
          <w:sz w:val="24"/>
          <w:szCs w:val="24"/>
        </w:rPr>
        <w:t xml:space="preserve"> ddPCR gene abundance data and (B) AOB</w:t>
      </w:r>
      <w:r w:rsidRPr="004874B3">
        <w:rPr>
          <w:rFonts w:ascii="Times New Roman" w:eastAsia="Times New Roman" w:hAnsi="Times New Roman" w:cs="Times New Roman"/>
          <w:i/>
          <w:iCs/>
          <w:sz w:val="24"/>
          <w:szCs w:val="24"/>
        </w:rPr>
        <w:t xml:space="preserve"> </w:t>
      </w:r>
      <w:r w:rsidRPr="004874B3">
        <w:rPr>
          <w:rFonts w:ascii="Times New Roman" w:eastAsia="Times New Roman" w:hAnsi="Times New Roman" w:cs="Times New Roman"/>
          <w:sz w:val="24"/>
          <w:szCs w:val="24"/>
        </w:rPr>
        <w:t xml:space="preserve">16S rRNA ddPCR gene abundance data. </w:t>
      </w:r>
    </w:p>
    <w:p w14:paraId="347CF9DB" w14:textId="77777777" w:rsidR="0061647F" w:rsidRPr="004874B3" w:rsidRDefault="006D77AA">
      <w:pPr>
        <w:spacing w:line="360" w:lineRule="auto"/>
        <w:jc w:val="both"/>
        <w:rPr>
          <w:rFonts w:ascii="Times New Roman" w:eastAsia="Times New Roman" w:hAnsi="Times New Roman" w:cs="Times New Roman"/>
          <w:sz w:val="24"/>
          <w:szCs w:val="24"/>
        </w:rPr>
      </w:pPr>
      <w:r w:rsidRPr="004874B3">
        <w:rPr>
          <w:rFonts w:ascii="Times New Roman" w:eastAsia="Times New Roman" w:hAnsi="Times New Roman" w:cs="Times New Roman"/>
          <w:noProof/>
          <w:sz w:val="24"/>
          <w:szCs w:val="24"/>
        </w:rPr>
        <w:lastRenderedPageBreak/>
        <w:drawing>
          <wp:inline distT="114300" distB="114300" distL="114300" distR="114300" wp14:anchorId="28A37FCD" wp14:editId="236AA248">
            <wp:extent cx="5943600" cy="5232400"/>
            <wp:effectExtent l="0" t="0" r="0" b="0"/>
            <wp:docPr id="2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5"/>
                    <a:srcRect/>
                    <a:stretch>
                      <a:fillRect/>
                    </a:stretch>
                  </pic:blipFill>
                  <pic:spPr>
                    <a:xfrm>
                      <a:off x="0" y="0"/>
                      <a:ext cx="5943600" cy="5232400"/>
                    </a:xfrm>
                    <a:prstGeom prst="rect">
                      <a:avLst/>
                    </a:prstGeom>
                    <a:ln/>
                  </pic:spPr>
                </pic:pic>
              </a:graphicData>
            </a:graphic>
          </wp:inline>
        </w:drawing>
      </w:r>
    </w:p>
    <w:p w14:paraId="398A24AB" w14:textId="77777777" w:rsidR="0061647F" w:rsidRPr="004874B3" w:rsidRDefault="006D77AA">
      <w:pPr>
        <w:spacing w:line="360" w:lineRule="auto"/>
        <w:jc w:val="both"/>
        <w:rPr>
          <w:rFonts w:ascii="Times New Roman" w:eastAsia="Times New Roman" w:hAnsi="Times New Roman" w:cs="Times New Roman"/>
          <w:sz w:val="24"/>
          <w:szCs w:val="24"/>
        </w:rPr>
      </w:pPr>
      <w:r w:rsidRPr="004874B3">
        <w:rPr>
          <w:rFonts w:ascii="Times New Roman" w:eastAsia="Times New Roman" w:hAnsi="Times New Roman" w:cs="Times New Roman"/>
          <w:b/>
          <w:bCs/>
          <w:sz w:val="24"/>
          <w:szCs w:val="24"/>
        </w:rPr>
        <w:t>Fig. S7:</w:t>
      </w:r>
      <w:r w:rsidRPr="004874B3">
        <w:rPr>
          <w:rFonts w:ascii="Times New Roman" w:eastAsia="Times New Roman" w:hAnsi="Times New Roman" w:cs="Times New Roman"/>
          <w:sz w:val="24"/>
          <w:szCs w:val="24"/>
        </w:rPr>
        <w:t xml:space="preserve"> Kendall's rank correlation tau analysis of nitrifier abundances, as determined through ddPCR (gene copies/L), between different sample locations (FW-Res, Site A, Site B, and Site E) and the filter effluent (FE). P values are indicated as follows: p &lt; 0.05 (*), p &lt; 0.01 (**), p &lt; 0.001 (***).</w:t>
      </w:r>
    </w:p>
    <w:p w14:paraId="03AD935C" w14:textId="77777777" w:rsidR="0061647F" w:rsidRPr="004874B3" w:rsidRDefault="0061647F">
      <w:pPr>
        <w:spacing w:line="360" w:lineRule="auto"/>
        <w:jc w:val="both"/>
        <w:rPr>
          <w:rFonts w:ascii="Times New Roman" w:eastAsia="Times New Roman" w:hAnsi="Times New Roman" w:cs="Times New Roman"/>
          <w:sz w:val="24"/>
          <w:szCs w:val="24"/>
        </w:rPr>
      </w:pPr>
    </w:p>
    <w:p w14:paraId="34FADEBB" w14:textId="77777777" w:rsidR="0061647F" w:rsidRPr="004874B3" w:rsidRDefault="006D77AA">
      <w:pPr>
        <w:spacing w:line="360" w:lineRule="auto"/>
        <w:jc w:val="center"/>
        <w:rPr>
          <w:rFonts w:ascii="Times New Roman" w:eastAsia="Times New Roman" w:hAnsi="Times New Roman" w:cs="Times New Roman"/>
          <w:sz w:val="24"/>
          <w:szCs w:val="24"/>
        </w:rPr>
      </w:pPr>
      <w:r w:rsidRPr="004874B3">
        <w:rPr>
          <w:rFonts w:ascii="Times New Roman" w:eastAsia="Times New Roman" w:hAnsi="Times New Roman" w:cs="Times New Roman"/>
          <w:noProof/>
          <w:sz w:val="24"/>
          <w:szCs w:val="24"/>
        </w:rPr>
        <w:lastRenderedPageBreak/>
        <w:drawing>
          <wp:inline distT="114300" distB="114300" distL="114300" distR="114300" wp14:anchorId="4CE07095" wp14:editId="594BE875">
            <wp:extent cx="5943600" cy="2603500"/>
            <wp:effectExtent l="0" t="0" r="0" b="0"/>
            <wp:docPr id="2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6"/>
                    <a:srcRect/>
                    <a:stretch>
                      <a:fillRect/>
                    </a:stretch>
                  </pic:blipFill>
                  <pic:spPr>
                    <a:xfrm>
                      <a:off x="0" y="0"/>
                      <a:ext cx="5943600" cy="2603500"/>
                    </a:xfrm>
                    <a:prstGeom prst="rect">
                      <a:avLst/>
                    </a:prstGeom>
                    <a:ln/>
                  </pic:spPr>
                </pic:pic>
              </a:graphicData>
            </a:graphic>
          </wp:inline>
        </w:drawing>
      </w:r>
    </w:p>
    <w:p w14:paraId="173F6927" w14:textId="77777777" w:rsidR="0061647F" w:rsidRPr="004874B3" w:rsidRDefault="006D77AA">
      <w:pPr>
        <w:spacing w:line="360" w:lineRule="auto"/>
        <w:jc w:val="both"/>
        <w:rPr>
          <w:rFonts w:ascii="Times New Roman" w:eastAsia="Times New Roman" w:hAnsi="Times New Roman" w:cs="Times New Roman"/>
          <w:sz w:val="24"/>
          <w:szCs w:val="24"/>
        </w:rPr>
      </w:pPr>
      <w:r w:rsidRPr="004874B3">
        <w:rPr>
          <w:rFonts w:ascii="Times New Roman" w:eastAsia="Times New Roman" w:hAnsi="Times New Roman" w:cs="Times New Roman"/>
          <w:b/>
          <w:bCs/>
          <w:sz w:val="24"/>
          <w:szCs w:val="24"/>
        </w:rPr>
        <w:t>Fig. S8</w:t>
      </w:r>
      <w:sdt>
        <w:sdtPr>
          <w:rPr>
            <w:rFonts w:ascii="Times New Roman" w:hAnsi="Times New Roman" w:cs="Times New Roman"/>
          </w:rPr>
          <w:tag w:val="goog_rdk_3"/>
          <w:id w:val="1758540688"/>
        </w:sdtPr>
        <w:sdtEndPr/>
        <w:sdtContent>
          <w:r w:rsidRPr="004874B3">
            <w:rPr>
              <w:rFonts w:ascii="Times New Roman" w:eastAsia="Gungsuh" w:hAnsi="Times New Roman" w:cs="Times New Roman"/>
              <w:sz w:val="24"/>
              <w:szCs w:val="24"/>
            </w:rPr>
            <w:t xml:space="preserve">: Bray−Curtis dissimilarity-based ordinations. (A) NMDS (B) </w:t>
          </w:r>
          <w:proofErr w:type="spellStart"/>
          <w:r w:rsidRPr="004874B3">
            <w:rPr>
              <w:rFonts w:ascii="Times New Roman" w:eastAsia="Gungsuh" w:hAnsi="Times New Roman" w:cs="Times New Roman"/>
              <w:sz w:val="24"/>
              <w:szCs w:val="24"/>
            </w:rPr>
            <w:t>dbRDA</w:t>
          </w:r>
          <w:proofErr w:type="spellEnd"/>
          <w:r w:rsidRPr="004874B3">
            <w:rPr>
              <w:rFonts w:ascii="Times New Roman" w:eastAsia="Gungsuh" w:hAnsi="Times New Roman" w:cs="Times New Roman"/>
              <w:sz w:val="24"/>
              <w:szCs w:val="24"/>
            </w:rPr>
            <w:t xml:space="preserve"> biplot illustrates the relationship among basic water quality parameters and microbial community structure of the 668 MAGs. Water quality parameters that significantly explained differences in community composition, as determined by PERMANOVA analysis, are indicated by black arrows. Collinear variables are shown in brackets, with “POS” and “NEG” denoting positive and negative correlations at Pearson’s correlation coefficients of &gt;0.70 and &lt;0.70, respectively. Source: Potgieter et al. (2025).</w:t>
          </w:r>
        </w:sdtContent>
      </w:sdt>
      <w:r w:rsidRPr="004874B3">
        <w:rPr>
          <w:rFonts w:ascii="Times New Roman" w:eastAsia="Times New Roman" w:hAnsi="Times New Roman" w:cs="Times New Roman"/>
          <w:sz w:val="24"/>
          <w:szCs w:val="24"/>
          <w:highlight w:val="white"/>
          <w:vertAlign w:val="superscript"/>
        </w:rPr>
        <w:t>42</w:t>
      </w:r>
      <w:r w:rsidRPr="004874B3">
        <w:rPr>
          <w:rFonts w:ascii="Times New Roman" w:eastAsia="Times New Roman" w:hAnsi="Times New Roman" w:cs="Times New Roman"/>
          <w:sz w:val="24"/>
          <w:szCs w:val="24"/>
        </w:rPr>
        <w:t xml:space="preserve"> © The Water Research Foundation.</w:t>
      </w:r>
    </w:p>
    <w:p w14:paraId="76B1C000" w14:textId="77777777" w:rsidR="0061647F" w:rsidRPr="004874B3" w:rsidRDefault="0061647F">
      <w:pPr>
        <w:spacing w:line="360" w:lineRule="auto"/>
        <w:jc w:val="both"/>
        <w:rPr>
          <w:rFonts w:ascii="Times New Roman" w:eastAsia="Times New Roman" w:hAnsi="Times New Roman" w:cs="Times New Roman"/>
          <w:sz w:val="24"/>
          <w:szCs w:val="24"/>
        </w:rPr>
      </w:pPr>
    </w:p>
    <w:p w14:paraId="1C1FC11B" w14:textId="77777777" w:rsidR="0061647F" w:rsidRPr="004874B3" w:rsidRDefault="0061647F">
      <w:pPr>
        <w:spacing w:line="360" w:lineRule="auto"/>
        <w:jc w:val="both"/>
        <w:rPr>
          <w:rFonts w:ascii="Times New Roman" w:eastAsia="Times New Roman" w:hAnsi="Times New Roman" w:cs="Times New Roman"/>
          <w:sz w:val="24"/>
          <w:szCs w:val="24"/>
        </w:rPr>
      </w:pPr>
    </w:p>
    <w:p w14:paraId="093FDB17" w14:textId="77777777" w:rsidR="0061647F" w:rsidRPr="004874B3" w:rsidRDefault="0061647F">
      <w:pPr>
        <w:spacing w:line="360" w:lineRule="auto"/>
        <w:jc w:val="both"/>
        <w:rPr>
          <w:rFonts w:ascii="Times New Roman" w:eastAsia="Times New Roman" w:hAnsi="Times New Roman" w:cs="Times New Roman"/>
          <w:sz w:val="24"/>
          <w:szCs w:val="24"/>
        </w:rPr>
      </w:pPr>
    </w:p>
    <w:p w14:paraId="71C4B042" w14:textId="77777777" w:rsidR="0061647F" w:rsidRPr="004874B3" w:rsidRDefault="0061647F">
      <w:pPr>
        <w:spacing w:line="360" w:lineRule="auto"/>
        <w:jc w:val="both"/>
        <w:rPr>
          <w:rFonts w:ascii="Times New Roman" w:eastAsia="Times New Roman" w:hAnsi="Times New Roman" w:cs="Times New Roman"/>
          <w:sz w:val="24"/>
          <w:szCs w:val="24"/>
        </w:rPr>
      </w:pPr>
    </w:p>
    <w:p w14:paraId="21AAC8F1" w14:textId="77777777" w:rsidR="0061647F" w:rsidRPr="004874B3" w:rsidRDefault="006D77AA">
      <w:pPr>
        <w:spacing w:after="200" w:line="360" w:lineRule="auto"/>
        <w:jc w:val="both"/>
        <w:rPr>
          <w:rFonts w:ascii="Times New Roman" w:eastAsia="Times New Roman" w:hAnsi="Times New Roman" w:cs="Times New Roman"/>
          <w:sz w:val="24"/>
          <w:szCs w:val="24"/>
        </w:rPr>
      </w:pPr>
      <w:r w:rsidRPr="004874B3">
        <w:rPr>
          <w:rFonts w:ascii="Times New Roman" w:eastAsia="Times New Roman" w:hAnsi="Times New Roman" w:cs="Times New Roman"/>
          <w:noProof/>
          <w:sz w:val="24"/>
          <w:szCs w:val="24"/>
        </w:rPr>
        <w:lastRenderedPageBreak/>
        <w:drawing>
          <wp:inline distT="114300" distB="114300" distL="114300" distR="114300" wp14:anchorId="5021B2A9" wp14:editId="37CFD549">
            <wp:extent cx="5943600" cy="3632200"/>
            <wp:effectExtent l="0" t="0" r="0" b="0"/>
            <wp:docPr id="30"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17"/>
                    <a:srcRect/>
                    <a:stretch>
                      <a:fillRect/>
                    </a:stretch>
                  </pic:blipFill>
                  <pic:spPr>
                    <a:xfrm>
                      <a:off x="0" y="0"/>
                      <a:ext cx="5943600" cy="3632200"/>
                    </a:xfrm>
                    <a:prstGeom prst="rect">
                      <a:avLst/>
                    </a:prstGeom>
                    <a:ln/>
                  </pic:spPr>
                </pic:pic>
              </a:graphicData>
            </a:graphic>
          </wp:inline>
        </w:drawing>
      </w:r>
    </w:p>
    <w:p w14:paraId="2FEB8DDC" w14:textId="77777777" w:rsidR="0061647F" w:rsidRPr="004874B3" w:rsidRDefault="006D77AA">
      <w:pPr>
        <w:spacing w:after="120" w:line="360" w:lineRule="auto"/>
        <w:jc w:val="both"/>
        <w:rPr>
          <w:rFonts w:ascii="Times New Roman" w:eastAsia="Times New Roman" w:hAnsi="Times New Roman" w:cs="Times New Roman"/>
          <w:sz w:val="24"/>
          <w:szCs w:val="24"/>
        </w:rPr>
        <w:sectPr w:rsidR="0061647F" w:rsidRPr="004874B3">
          <w:pgSz w:w="12240" w:h="15840"/>
          <w:pgMar w:top="1440" w:right="1440" w:bottom="1440" w:left="1440" w:header="720" w:footer="720" w:gutter="0"/>
          <w:cols w:space="720"/>
        </w:sectPr>
      </w:pPr>
      <w:r w:rsidRPr="004874B3">
        <w:rPr>
          <w:rFonts w:ascii="Times New Roman" w:eastAsia="Times New Roman" w:hAnsi="Times New Roman" w:cs="Times New Roman"/>
          <w:b/>
          <w:bCs/>
          <w:sz w:val="24"/>
          <w:szCs w:val="24"/>
        </w:rPr>
        <w:t>Fig. S9</w:t>
      </w:r>
      <w:r w:rsidRPr="004874B3">
        <w:rPr>
          <w:rFonts w:ascii="Times New Roman" w:eastAsia="Times New Roman" w:hAnsi="Times New Roman" w:cs="Times New Roman"/>
          <w:sz w:val="24"/>
          <w:szCs w:val="24"/>
        </w:rPr>
        <w:t xml:space="preserve">: Correlation analyses using Kendall's rank correlation tau between the RPKM of nitrifier MAGs and absolute abundances (copies/L) of nitrifier MAGs determined using </w:t>
      </w:r>
      <w:proofErr w:type="spellStart"/>
      <w:r w:rsidRPr="004874B3">
        <w:rPr>
          <w:rFonts w:ascii="Times New Roman" w:eastAsia="Times New Roman" w:hAnsi="Times New Roman" w:cs="Times New Roman"/>
          <w:sz w:val="24"/>
          <w:szCs w:val="24"/>
        </w:rPr>
        <w:t>QuantMeta</w:t>
      </w:r>
      <w:proofErr w:type="spellEnd"/>
      <w:r w:rsidRPr="004874B3">
        <w:rPr>
          <w:rFonts w:ascii="Times New Roman" w:eastAsia="Times New Roman" w:hAnsi="Times New Roman" w:cs="Times New Roman"/>
          <w:sz w:val="24"/>
          <w:szCs w:val="24"/>
        </w:rPr>
        <w:t xml:space="preserve"> (</w:t>
      </w:r>
      <w:proofErr w:type="spellStart"/>
      <w:r w:rsidRPr="004874B3">
        <w:rPr>
          <w:rFonts w:ascii="Times New Roman" w:eastAsia="Times New Roman" w:hAnsi="Times New Roman" w:cs="Times New Roman"/>
          <w:sz w:val="24"/>
          <w:szCs w:val="24"/>
        </w:rPr>
        <w:t>Langenfeld</w:t>
      </w:r>
      <w:proofErr w:type="spellEnd"/>
      <w:r w:rsidRPr="004874B3">
        <w:rPr>
          <w:rFonts w:ascii="Times New Roman" w:eastAsia="Times New Roman" w:hAnsi="Times New Roman" w:cs="Times New Roman"/>
          <w:sz w:val="24"/>
          <w:szCs w:val="24"/>
        </w:rPr>
        <w:t xml:space="preserve"> et al., 2025). Source: Potgieter et al. (2025).</w:t>
      </w:r>
      <w:r w:rsidRPr="004874B3">
        <w:rPr>
          <w:rFonts w:ascii="Times New Roman" w:eastAsia="Times New Roman" w:hAnsi="Times New Roman" w:cs="Times New Roman"/>
          <w:sz w:val="24"/>
          <w:szCs w:val="24"/>
          <w:highlight w:val="white"/>
          <w:vertAlign w:val="superscript"/>
        </w:rPr>
        <w:t xml:space="preserve">42 </w:t>
      </w:r>
      <w:r w:rsidRPr="004874B3">
        <w:rPr>
          <w:rFonts w:ascii="Times New Roman" w:eastAsia="Times New Roman" w:hAnsi="Times New Roman" w:cs="Times New Roman"/>
          <w:sz w:val="24"/>
          <w:szCs w:val="24"/>
        </w:rPr>
        <w:t>© The Water Research Foundation.</w:t>
      </w:r>
    </w:p>
    <w:p w14:paraId="7AADEF42" w14:textId="77777777" w:rsidR="0061647F" w:rsidRPr="004874B3" w:rsidRDefault="006D77AA">
      <w:pPr>
        <w:spacing w:after="120" w:line="360" w:lineRule="auto"/>
        <w:jc w:val="both"/>
        <w:rPr>
          <w:rFonts w:ascii="Times New Roman" w:eastAsia="Times New Roman" w:hAnsi="Times New Roman" w:cs="Times New Roman"/>
          <w:sz w:val="24"/>
          <w:szCs w:val="24"/>
          <w:highlight w:val="white"/>
        </w:rPr>
      </w:pPr>
      <w:r w:rsidRPr="004874B3">
        <w:rPr>
          <w:rFonts w:ascii="Times New Roman" w:eastAsia="Times New Roman" w:hAnsi="Times New Roman" w:cs="Times New Roman"/>
          <w:noProof/>
          <w:sz w:val="24"/>
          <w:szCs w:val="24"/>
          <w:highlight w:val="white"/>
        </w:rPr>
        <w:lastRenderedPageBreak/>
        <w:drawing>
          <wp:inline distT="114300" distB="114300" distL="114300" distR="114300" wp14:anchorId="3B362DD5" wp14:editId="288915D4">
            <wp:extent cx="5943600" cy="5283200"/>
            <wp:effectExtent l="0" t="0" r="0" b="0"/>
            <wp:docPr id="24"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18"/>
                    <a:srcRect/>
                    <a:stretch>
                      <a:fillRect/>
                    </a:stretch>
                  </pic:blipFill>
                  <pic:spPr>
                    <a:xfrm>
                      <a:off x="0" y="0"/>
                      <a:ext cx="5943600" cy="5283200"/>
                    </a:xfrm>
                    <a:prstGeom prst="rect">
                      <a:avLst/>
                    </a:prstGeom>
                    <a:ln/>
                  </pic:spPr>
                </pic:pic>
              </a:graphicData>
            </a:graphic>
          </wp:inline>
        </w:drawing>
      </w:r>
    </w:p>
    <w:p w14:paraId="7DC0BBF9" w14:textId="77777777" w:rsidR="0061647F" w:rsidRPr="004874B3" w:rsidRDefault="006D77AA">
      <w:pPr>
        <w:spacing w:after="120" w:line="360" w:lineRule="auto"/>
        <w:jc w:val="both"/>
        <w:rPr>
          <w:rFonts w:ascii="Times New Roman" w:eastAsia="Times New Roman" w:hAnsi="Times New Roman" w:cs="Times New Roman"/>
          <w:sz w:val="24"/>
          <w:szCs w:val="24"/>
        </w:rPr>
      </w:pPr>
      <w:r w:rsidRPr="004874B3">
        <w:rPr>
          <w:rFonts w:ascii="Times New Roman" w:eastAsia="Times New Roman" w:hAnsi="Times New Roman" w:cs="Times New Roman"/>
          <w:b/>
          <w:bCs/>
          <w:sz w:val="24"/>
          <w:szCs w:val="24"/>
        </w:rPr>
        <w:t>Fig. S10</w:t>
      </w:r>
      <w:r w:rsidRPr="004874B3">
        <w:rPr>
          <w:rFonts w:ascii="Times New Roman" w:eastAsia="Times New Roman" w:hAnsi="Times New Roman" w:cs="Times New Roman"/>
          <w:sz w:val="24"/>
          <w:szCs w:val="24"/>
        </w:rPr>
        <w:t>: Kendall's rank correlation tau analysis between water quality parameters and the abundance of nitrifier MAGs (copies/L). P values indicated as follows: p &lt; 0.05 (*), p &lt; 0.01 (**), p &lt; 0.001 (***)</w:t>
      </w:r>
      <w:r w:rsidRPr="004874B3">
        <w:rPr>
          <w:rFonts w:ascii="Times New Roman" w:eastAsia="Times New Roman" w:hAnsi="Times New Roman" w:cs="Times New Roman"/>
          <w:sz w:val="24"/>
          <w:szCs w:val="24"/>
          <w:highlight w:val="white"/>
        </w:rPr>
        <w:t xml:space="preserve">. Source: </w:t>
      </w:r>
      <w:r w:rsidRPr="004874B3">
        <w:rPr>
          <w:rFonts w:ascii="Times New Roman" w:eastAsia="Times New Roman" w:hAnsi="Times New Roman" w:cs="Times New Roman"/>
          <w:sz w:val="24"/>
          <w:szCs w:val="24"/>
        </w:rPr>
        <w:t>Potgieter et al. (2025).</w:t>
      </w:r>
      <w:r w:rsidRPr="004874B3">
        <w:rPr>
          <w:rFonts w:ascii="Times New Roman" w:eastAsia="Times New Roman" w:hAnsi="Times New Roman" w:cs="Times New Roman"/>
          <w:sz w:val="24"/>
          <w:szCs w:val="24"/>
          <w:highlight w:val="white"/>
          <w:vertAlign w:val="superscript"/>
        </w:rPr>
        <w:t>42</w:t>
      </w:r>
      <w:r w:rsidRPr="004874B3">
        <w:rPr>
          <w:rFonts w:ascii="Times New Roman" w:eastAsia="Times New Roman" w:hAnsi="Times New Roman" w:cs="Times New Roman"/>
          <w:sz w:val="24"/>
          <w:szCs w:val="24"/>
          <w:highlight w:val="white"/>
        </w:rPr>
        <w:t xml:space="preserve"> © The Water Research Foundation.</w:t>
      </w:r>
    </w:p>
    <w:sectPr w:rsidR="0061647F" w:rsidRPr="004874B3">
      <w:pgSz w:w="12240" w:h="15840"/>
      <w:pgMar w:top="1440" w:right="1440" w:bottom="1440" w:left="1440"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3AE4EB1" w14:textId="77777777" w:rsidR="00974989" w:rsidRDefault="00974989">
      <w:pPr>
        <w:spacing w:line="240" w:lineRule="auto"/>
      </w:pPr>
      <w:r>
        <w:separator/>
      </w:r>
    </w:p>
  </w:endnote>
  <w:endnote w:type="continuationSeparator" w:id="0">
    <w:p w14:paraId="44D802D9" w14:textId="77777777" w:rsidR="00974989" w:rsidRDefault="0097498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Gungsuh">
    <w:charset w:val="81"/>
    <w:family w:val="roman"/>
    <w:pitch w:val="variable"/>
    <w:sig w:usb0="B00002AF" w:usb1="69D77CFB" w:usb2="00000030" w:usb3="00000000" w:csb0="0008009F" w:csb1="00000000"/>
  </w:font>
  <w:font w:name="Calibri">
    <w:panose1 w:val="020F0502020204030204"/>
    <w:charset w:val="00"/>
    <w:family w:val="swiss"/>
    <w:pitch w:val="variable"/>
    <w:sig w:usb0="E4002EFF" w:usb1="C200247B" w:usb2="00000009" w:usb3="00000000" w:csb0="000001FF" w:csb1="00000000"/>
    <w:embedRegular r:id="rId1" w:fontKey="{C59AEAC1-5619-4B9E-AA34-7252A5735D7F}"/>
  </w:font>
  <w:font w:name="Cambria">
    <w:panose1 w:val="02040503050406030204"/>
    <w:charset w:val="00"/>
    <w:family w:val="roman"/>
    <w:pitch w:val="variable"/>
    <w:sig w:usb0="E00006FF" w:usb1="420024FF" w:usb2="02000000" w:usb3="00000000" w:csb0="0000019F" w:csb1="00000000"/>
    <w:embedRegular r:id="rId2" w:fontKey="{D26A1E3C-6E08-407D-A5FA-5BAD153096CF}"/>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758E71D" w14:textId="77777777" w:rsidR="0061647F" w:rsidRDefault="006D77AA">
    <w:pPr>
      <w:jc w:val="right"/>
    </w:pPr>
    <w:r>
      <w:fldChar w:fldCharType="begin"/>
    </w:r>
    <w:r>
      <w:instrText>PAGE</w:instrText>
    </w:r>
    <w:r>
      <w:fldChar w:fldCharType="separate"/>
    </w:r>
    <w:r w:rsidR="0031140D">
      <w:rPr>
        <w:noProof/>
      </w:rPr>
      <w:t>1</w:t>
    </w:r>
    <w: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6259DBAB" w14:textId="77777777" w:rsidR="00974989" w:rsidRDefault="00974989">
      <w:pPr>
        <w:spacing w:line="240" w:lineRule="auto"/>
      </w:pPr>
      <w:r>
        <w:separator/>
      </w:r>
    </w:p>
  </w:footnote>
  <w:footnote w:type="continuationSeparator" w:id="0">
    <w:p w14:paraId="22B6B308" w14:textId="77777777" w:rsidR="00974989" w:rsidRDefault="00974989">
      <w:pPr>
        <w:spacing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13A09A3"/>
    <w:multiLevelType w:val="multilevel"/>
    <w:tmpl w:val="A2E8337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91"/>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1647F"/>
    <w:rsid w:val="0031140D"/>
    <w:rsid w:val="003F7A5F"/>
    <w:rsid w:val="004874B3"/>
    <w:rsid w:val="0061647F"/>
    <w:rsid w:val="006A0B91"/>
    <w:rsid w:val="006B3148"/>
    <w:rsid w:val="006D77AA"/>
    <w:rsid w:val="00974989"/>
    <w:rsid w:val="00B41E9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C94C2C"/>
  <w15:docId w15:val="{0510CFEB-C384-4B5E-BBC3-4A9FFBF1744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Arial" w:eastAsia="Arial" w:hAnsi="Arial" w:cs="Arial"/>
        <w:sz w:val="22"/>
        <w:szCs w:val="22"/>
        <w:lang w:val="en" w:eastAsia="en-US" w:bidi="ar-SA"/>
      </w:rPr>
    </w:rPrDefault>
    <w:pPrDefault>
      <w:pPr>
        <w:spacing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next w:val="Normal"/>
    <w:uiPriority w:val="9"/>
    <w:qFormat/>
    <w:pPr>
      <w:keepNext/>
      <w:keepLines/>
      <w:spacing w:line="360" w:lineRule="auto"/>
      <w:jc w:val="both"/>
      <w:outlineLvl w:val="0"/>
    </w:pPr>
    <w:rPr>
      <w:rFonts w:ascii="Times New Roman" w:eastAsia="Times New Roman" w:hAnsi="Times New Roman" w:cs="Times New Roman"/>
      <w:b/>
      <w:bCs/>
    </w:rPr>
  </w:style>
  <w:style w:type="paragraph" w:styleId="Heading2">
    <w:name w:val="heading 2"/>
    <w:basedOn w:val="Normal"/>
    <w:next w:val="Normal"/>
    <w:uiPriority w:val="9"/>
    <w:unhideWhenUsed/>
    <w:qFormat/>
    <w:pPr>
      <w:keepNext/>
      <w:keepLines/>
      <w:spacing w:after="200"/>
      <w:jc w:val="both"/>
      <w:outlineLvl w:val="1"/>
    </w:pPr>
    <w:rPr>
      <w:rFonts w:ascii="Times New Roman" w:eastAsia="Times New Roman" w:hAnsi="Times New Roman" w:cs="Times New Roman"/>
      <w:b/>
      <w:bCs/>
    </w:rPr>
  </w:style>
  <w:style w:type="paragraph" w:styleId="Heading3">
    <w:name w:val="heading 3"/>
    <w:basedOn w:val="Normal"/>
    <w:next w:val="Normal"/>
    <w:uiPriority w:val="9"/>
    <w:semiHidden/>
    <w:unhideWhenUsed/>
    <w:qFormat/>
    <w:pPr>
      <w:keepNext/>
      <w:keepLines/>
      <w:spacing w:before="320" w:after="80"/>
      <w:outlineLvl w:val="2"/>
    </w:pPr>
    <w:rPr>
      <w:color w:val="434343"/>
      <w:sz w:val="28"/>
      <w:szCs w:val="28"/>
    </w:rPr>
  </w:style>
  <w:style w:type="paragraph" w:styleId="Heading4">
    <w:name w:val="heading 4"/>
    <w:basedOn w:val="Normal"/>
    <w:next w:val="Normal"/>
    <w:uiPriority w:val="9"/>
    <w:semiHidden/>
    <w:unhideWhenUsed/>
    <w:qFormat/>
    <w:pPr>
      <w:keepNext/>
      <w:keepLines/>
      <w:spacing w:before="280" w:after="80"/>
      <w:outlineLvl w:val="3"/>
    </w:pPr>
    <w:rPr>
      <w:color w:val="666666"/>
      <w:sz w:val="24"/>
      <w:szCs w:val="24"/>
    </w:rPr>
  </w:style>
  <w:style w:type="paragraph" w:styleId="Heading5">
    <w:name w:val="heading 5"/>
    <w:basedOn w:val="Normal"/>
    <w:next w:val="Normal"/>
    <w:uiPriority w:val="9"/>
    <w:semiHidden/>
    <w:unhideWhenUsed/>
    <w:qFormat/>
    <w:pPr>
      <w:keepNext/>
      <w:keepLines/>
      <w:spacing w:before="240" w:after="80"/>
      <w:outlineLvl w:val="4"/>
    </w:pPr>
    <w:rPr>
      <w:color w:val="666666"/>
    </w:rPr>
  </w:style>
  <w:style w:type="paragraph" w:styleId="Heading6">
    <w:name w:val="heading 6"/>
    <w:basedOn w:val="Normal"/>
    <w:next w:val="Normal"/>
    <w:uiPriority w:val="9"/>
    <w:semiHidden/>
    <w:unhideWhenUsed/>
    <w:qFormat/>
    <w:pPr>
      <w:keepNext/>
      <w:keepLines/>
      <w:spacing w:before="240" w:after="80"/>
      <w:outlineLvl w:val="5"/>
    </w:pPr>
    <w:rPr>
      <w:i/>
      <w:iCs/>
      <w:color w:val="66666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Normal0">
    <w:name w:val="TableNormal"/>
    <w:tblPr>
      <w:tblCellMar>
        <w:top w:w="100" w:type="dxa"/>
        <w:left w:w="100" w:type="dxa"/>
        <w:bottom w:w="100" w:type="dxa"/>
        <w:right w:w="100" w:type="dxa"/>
      </w:tblCellMar>
    </w:tblPr>
  </w:style>
  <w:style w:type="paragraph" w:styleId="Title">
    <w:name w:val="Title"/>
    <w:basedOn w:val="Normal"/>
    <w:next w:val="Normal"/>
    <w:uiPriority w:val="10"/>
    <w:qFormat/>
    <w:pPr>
      <w:keepNext/>
      <w:keepLines/>
      <w:spacing w:after="60"/>
    </w:pPr>
    <w:rPr>
      <w:sz w:val="52"/>
      <w:szCs w:val="52"/>
    </w:rPr>
  </w:style>
  <w:style w:type="table" w:customStyle="1" w:styleId="TableNormal1">
    <w:name w:val="TableNormal"/>
    <w:tblPr>
      <w:tblCellMar>
        <w:top w:w="100" w:type="dxa"/>
        <w:left w:w="100" w:type="dxa"/>
        <w:bottom w:w="100" w:type="dxa"/>
        <w:right w:w="100" w:type="dxa"/>
      </w:tblCellMar>
    </w:tblPr>
  </w:style>
  <w:style w:type="table" w:customStyle="1" w:styleId="TableNormal2">
    <w:name w:val="TableNormal"/>
    <w:tblPr>
      <w:tblCellMar>
        <w:top w:w="100" w:type="dxa"/>
        <w:left w:w="100" w:type="dxa"/>
        <w:bottom w:w="100" w:type="dxa"/>
        <w:right w:w="100" w:type="dxa"/>
      </w:tblCellMar>
    </w:tblPr>
  </w:style>
  <w:style w:type="paragraph" w:styleId="Subtitle">
    <w:name w:val="Subtitle"/>
    <w:basedOn w:val="Normal"/>
    <w:next w:val="Normal"/>
    <w:uiPriority w:val="11"/>
    <w:qFormat/>
    <w:pPr>
      <w:keepNext/>
      <w:keepLines/>
      <w:spacing w:after="320"/>
    </w:pPr>
    <w:rPr>
      <w:color w:val="666666"/>
      <w:sz w:val="30"/>
      <w:szCs w:val="3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file>

<file path=word/_rels/document.xml.rels><?xml version="1.0" encoding="UTF-8" standalone="yes"?>
<Relationships xmlns="http://schemas.openxmlformats.org/package/2006/relationships"><Relationship Id="rId8" Type="http://schemas.openxmlformats.org/officeDocument/2006/relationships/footer" Target="footer1.xml"/><Relationship Id="rId13" Type="http://schemas.openxmlformats.org/officeDocument/2006/relationships/image" Target="media/image5.png"/><Relationship Id="rId18" Type="http://schemas.openxmlformats.org/officeDocument/2006/relationships/image" Target="media/image10.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png"/><Relationship Id="rId2" Type="http://schemas.openxmlformats.org/officeDocument/2006/relationships/numbering" Target="numbering.xml"/><Relationship Id="rId16" Type="http://schemas.openxmlformats.org/officeDocument/2006/relationships/image" Target="media/image8.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3.png"/><Relationship Id="rId5" Type="http://schemas.openxmlformats.org/officeDocument/2006/relationships/webSettings" Target="webSettings.xml"/><Relationship Id="rId15" Type="http://schemas.openxmlformats.org/officeDocument/2006/relationships/image" Target="media/image7.png"/><Relationship Id="rId10" Type="http://schemas.openxmlformats.org/officeDocument/2006/relationships/image" Target="media/image2.png"/><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png"/><Relationship Id="rId14" Type="http://schemas.openxmlformats.org/officeDocument/2006/relationships/image" Target="media/image6.png"/></Relationships>
</file>

<file path=word/_rels/fontTable.xml.rels><?xml version="1.0" encoding="UTF-8" standalone="yes"?>
<Relationships xmlns="http://schemas.openxmlformats.org/package/2006/relationships"><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iCPPDYHzWnI2N7X+Xol/3lQ51AoA==">CgMxLjAaJQoBMBIgCh4IB0IaCg9UaW1lcyBOZXcgUm9tYW4SB0d1bmdzdWgaJQoBMRIgCh4IB0IaCg9UaW1lcyBOZXcgUm9tYW4SB0d1bmdzdWgaJQoBMhIgCh4IB0IaCg9UaW1lcyBOZXcgUm9tYW4SB0d1bmdzdWgaJQoBMxIgCh4IB0IaCg9UaW1lcyBOZXcgUm9tYW4SB0d1bmdzdWgyDmgudnA1amJidDV3d29zMg5oLnI2YzJwcHZ2MjVwNzIOaC5jOG1neGtvem00ZmoyDmguY2F1d3k4NTRyZG5tMg5oLmFhd3ZlbHA1dnUyeTINaC5jNjllZTVrNHFvdjIOaC43NWVyc29mdmZhbmIyDmguNzJpN2wxNjF2MXBuMg5oLm01cTg3NnBoaWF6bzgAciExMVFsWGVQR1NHVkdHOE51eEk4Uks0LUdMRzBXaWh4OXU=</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3237</Words>
  <Characters>18453</Characters>
  <Application>Microsoft Office Word</Application>
  <DocSecurity>0</DocSecurity>
  <Lines>153</Lines>
  <Paragraphs>43</Paragraphs>
  <ScaleCrop>false</ScaleCrop>
  <HeadingPairs>
    <vt:vector size="2" baseType="variant">
      <vt:variant>
        <vt:lpstr>Title</vt:lpstr>
      </vt:variant>
      <vt:variant>
        <vt:i4>1</vt:i4>
      </vt:variant>
    </vt:vector>
  </HeadingPairs>
  <TitlesOfParts>
    <vt:vector size="1" baseType="lpstr">
      <vt:lpstr/>
    </vt:vector>
  </TitlesOfParts>
  <Company>University of Michigan</Company>
  <LinksUpToDate>false</LinksUpToDate>
  <CharactersWithSpaces>21647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Raskin, Lutgarde</dc:creator>
  <cp:lastModifiedBy>Mrs. HJ Lotter</cp:lastModifiedBy>
  <cp:revision>2</cp:revision>
  <dcterms:created xsi:type="dcterms:W3CDTF">2026-02-02T10:28:00Z</dcterms:created>
  <dcterms:modified xsi:type="dcterms:W3CDTF">2026-02-02T10:28:00Z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b70507f4-e680-4210-8b7b-d331ce9ddbc9</vt:lpwstr>
  </property>
</Properties>
</file>