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543EB3" w14:textId="6709296B" w:rsidR="00AD5AA8" w:rsidRDefault="00FC468A">
      <w:r w:rsidRPr="009E7D78">
        <w:rPr>
          <w:rFonts w:ascii="Times New Roman" w:hAnsi="Times New Roman" w:cs="Times New Roman"/>
          <w:noProof/>
          <w:sz w:val="24"/>
          <w:szCs w:val="24"/>
          <w:lang w:eastAsia="en-ZA"/>
        </w:rPr>
        <w:drawing>
          <wp:inline distT="0" distB="0" distL="0" distR="0" wp14:anchorId="6586DF3C" wp14:editId="022EFA2F">
            <wp:extent cx="4157345" cy="2826868"/>
            <wp:effectExtent l="0" t="0" r="0" b="0"/>
            <wp:docPr id="19" name="Picture 19" descr="A close-up of a tes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A close-up of a test&#10;&#10;Description automatically generated"/>
                    <pic:cNvPicPr/>
                  </pic:nvPicPr>
                  <pic:blipFill rotWithShape="1">
                    <a:blip r:embed="rId4"/>
                    <a:srcRect l="4158" t="9069" r="2407" b="5030"/>
                    <a:stretch/>
                  </pic:blipFill>
                  <pic:spPr bwMode="auto">
                    <a:xfrm>
                      <a:off x="0" y="0"/>
                      <a:ext cx="4184606" cy="28454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F24E71" w14:textId="77777777" w:rsidR="00FC468A" w:rsidRPr="00FC468A" w:rsidRDefault="00FC468A" w:rsidP="00F659CA">
      <w:pPr>
        <w:spacing w:after="0" w:line="480" w:lineRule="auto"/>
        <w:jc w:val="both"/>
        <w:rPr>
          <w:kern w:val="0"/>
          <w14:ligatures w14:val="none"/>
        </w:rPr>
      </w:pPr>
      <w:r w:rsidRPr="00FC468A"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  <w:t xml:space="preserve">Supplementary figure 3: Agarose gel </w:t>
      </w:r>
      <w:r w:rsidRPr="00FC468A"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>electrophoretogram</w:t>
      </w:r>
      <w:r w:rsidRPr="00FC468A"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  <w:t xml:space="preserve"> showing the performance of the in-house PCR on low viral load samples. </w:t>
      </w:r>
      <w:r w:rsidRPr="00FC468A">
        <w:rPr>
          <w:rFonts w:ascii="Times New Roman" w:hAnsi="Times New Roman" w:cs="Times New Roman"/>
          <w:kern w:val="0"/>
          <w:sz w:val="20"/>
          <w:szCs w:val="20"/>
          <w14:ligatures w14:val="none"/>
        </w:rPr>
        <w:t>PR-RT and IN target fragments were detected in samples 7927, 0979, and 7029 with viral loads (VLs) 534 copies/ml, 960 copies/ml and 1250 copies/ml, respectively. Both target fragments were not detected in samples 5349 and 6249, with VLs 837 copies/ml and 1680 copies/ml, respectively. All these samples were extracted using 0.5 ml input volume, and an input of 10µl was used in the first round of amplification. kb – kilobase; DNA – deoxyribonucleic acid.</w:t>
      </w:r>
    </w:p>
    <w:p w14:paraId="4C5E0170" w14:textId="77777777" w:rsidR="00FC468A" w:rsidRDefault="00FC468A"/>
    <w:sectPr w:rsidR="00FC46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68A"/>
    <w:rsid w:val="00616C69"/>
    <w:rsid w:val="00AD5AA8"/>
    <w:rsid w:val="00F659CA"/>
    <w:rsid w:val="00FC4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348CF6F"/>
  <w15:chartTrackingRefBased/>
  <w15:docId w15:val="{5D1A64C7-3381-4BE2-8A75-DF2751433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498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TL Fortuin</dc:creator>
  <cp:keywords/>
  <dc:description/>
  <cp:lastModifiedBy>Mr. TL Fortuin</cp:lastModifiedBy>
  <cp:revision>2</cp:revision>
  <dcterms:created xsi:type="dcterms:W3CDTF">2024-06-07T13:53:00Z</dcterms:created>
  <dcterms:modified xsi:type="dcterms:W3CDTF">2024-06-10T09:15:00Z</dcterms:modified>
</cp:coreProperties>
</file>