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7D6D00" w14:textId="2E2D9EDC" w:rsidR="00B52E62" w:rsidRPr="00425152" w:rsidRDefault="00B52E62" w:rsidP="00B52E62">
      <w:pPr>
        <w:pStyle w:val="Heading1"/>
      </w:pPr>
      <w:r w:rsidRPr="00425152">
        <w:t xml:space="preserve">APPENDICES – </w:t>
      </w:r>
      <w:r w:rsidR="000509FE" w:rsidRPr="00425152">
        <w:t>All Appendix legends are provided below</w:t>
      </w:r>
      <w:r w:rsidR="00A23CBC" w:rsidRPr="00425152">
        <w:t xml:space="preserve">. Tables </w:t>
      </w:r>
      <w:r w:rsidR="000A0E0E" w:rsidRPr="00425152">
        <w:t>from</w:t>
      </w:r>
      <w:r w:rsidR="00A23CBC" w:rsidRPr="00425152">
        <w:t xml:space="preserve"> S1-S4 and S6-S9 are provided on a separate</w:t>
      </w:r>
      <w:r w:rsidR="000A0E0E" w:rsidRPr="00425152">
        <w:t xml:space="preserve"> excel sheet and figures from </w:t>
      </w:r>
      <w:r w:rsidRPr="00425152">
        <w:t>S5</w:t>
      </w:r>
      <w:r w:rsidR="000509FE" w:rsidRPr="00425152">
        <w:t xml:space="preserve">, </w:t>
      </w:r>
      <w:r w:rsidRPr="00425152">
        <w:t>S10</w:t>
      </w:r>
      <w:r w:rsidR="000509FE" w:rsidRPr="00425152">
        <w:t>, &amp; S11</w:t>
      </w:r>
      <w:r w:rsidR="000A0E0E" w:rsidRPr="00425152">
        <w:t xml:space="preserve"> and provided with their respective legends below.</w:t>
      </w:r>
    </w:p>
    <w:p w14:paraId="06AC83FA" w14:textId="77777777" w:rsidR="00B52E62" w:rsidRPr="00425152" w:rsidRDefault="00B52E62" w:rsidP="00B52E62">
      <w:pPr>
        <w:rPr>
          <w:rFonts w:cs="Times New Roman"/>
          <w:szCs w:val="24"/>
          <w:lang w:eastAsia="en-AU"/>
        </w:rPr>
      </w:pPr>
    </w:p>
    <w:p w14:paraId="234FC8A4" w14:textId="77777777" w:rsidR="00B52E62" w:rsidRPr="00425152" w:rsidRDefault="00B52E62" w:rsidP="00B52E62">
      <w:pPr>
        <w:pStyle w:val="Heading2"/>
        <w:rPr>
          <w:rFonts w:ascii="Times New Roman" w:hAnsi="Times New Roman" w:cs="Times New Roman"/>
          <w:sz w:val="24"/>
          <w:szCs w:val="24"/>
        </w:rPr>
      </w:pPr>
      <w:r w:rsidRPr="00425152">
        <w:rPr>
          <w:rFonts w:ascii="Times New Roman" w:hAnsi="Times New Roman" w:cs="Times New Roman"/>
          <w:sz w:val="24"/>
          <w:szCs w:val="24"/>
        </w:rPr>
        <w:t>Appendix S1 – Scores (Avg – All Reviews)</w:t>
      </w:r>
    </w:p>
    <w:p w14:paraId="46D1059B" w14:textId="77777777" w:rsidR="00B52E62" w:rsidRPr="00425152" w:rsidRDefault="00B52E62" w:rsidP="00B52E62">
      <w:pPr>
        <w:rPr>
          <w:rFonts w:cs="Times New Roman"/>
          <w:szCs w:val="24"/>
        </w:rPr>
      </w:pPr>
      <w:r w:rsidRPr="00425152">
        <w:rPr>
          <w:rFonts w:cs="Times New Roman"/>
          <w:szCs w:val="24"/>
        </w:rPr>
        <w:t>Average threat vulnerability scores as provided by the experts consulted using all expert reviews, indicating the IUCN Red List extinction risk status and population trend of the species based on the most recent International Union of Conservation Network (IUCN) global species assessment (</w:t>
      </w:r>
      <w:hyperlink r:id="rId6" w:history="1">
        <w:r w:rsidRPr="00425152">
          <w:rPr>
            <w:rStyle w:val="Hyperlink"/>
            <w:rFonts w:cs="Times New Roman"/>
            <w:szCs w:val="24"/>
          </w:rPr>
          <w:t>www.iucnredlist.org</w:t>
        </w:r>
      </w:hyperlink>
      <w:r w:rsidRPr="00425152">
        <w:rPr>
          <w:rFonts w:cs="Times New Roman"/>
          <w:szCs w:val="24"/>
        </w:rPr>
        <w:t>; accessed Apr 2023). Threats include climate change threats: ocean acidification (OA), oxygen minimum zones (OMZ), ultraviolet radiation (UV), sea level rise (SLR), and temperature extremes (TE); Coastal impact threats: agriculture runoff (AGRI), urban runoff (URB), aquaculture (AQUA), tourism (TOUR), direct human intrusions (DHI), and light pollution (LIGHT); Fishing threats: drifting longliners (DLONG), seiners (SEINE), trawlers (TRAWL), fixed gear (FIXED), trollers (TROLL), pole &amp; line (POLE), and artisanal fisheries (ART); and maritime disturbance threats: shipping (SHIP), benthic oil rigs (OIL), noise pollution (NOIS), plastics &amp; other solid waste (PLAS), and maritime pollution (MPOLL). '-' indicates a vulnerability score of 0, and 'NA' indicates we received no expert reviews for that species-threat combination. The color of the cell indicates the vulnerability level: red = high vulnerability, orange = medium vulnerability, yellow = low vulnerability, and no color = negligible vulnerability. 'N threats' indicates the total number of threats to which each species was rated as having at least low vulnerability.</w:t>
      </w:r>
    </w:p>
    <w:p w14:paraId="711E4866" w14:textId="77777777" w:rsidR="000F7978" w:rsidRPr="00425152" w:rsidRDefault="000F7978" w:rsidP="00B52E62">
      <w:pPr>
        <w:rPr>
          <w:rFonts w:cs="Times New Roman"/>
          <w:szCs w:val="24"/>
        </w:rPr>
      </w:pPr>
    </w:p>
    <w:p w14:paraId="5BD0F6D4" w14:textId="77777777" w:rsidR="00B52E62" w:rsidRPr="00425152" w:rsidRDefault="00B52E62" w:rsidP="00B52E62">
      <w:pPr>
        <w:pStyle w:val="Heading2"/>
        <w:rPr>
          <w:rFonts w:ascii="Times New Roman" w:hAnsi="Times New Roman" w:cs="Times New Roman"/>
          <w:sz w:val="24"/>
          <w:szCs w:val="24"/>
        </w:rPr>
      </w:pPr>
      <w:r w:rsidRPr="00425152">
        <w:rPr>
          <w:rFonts w:ascii="Times New Roman" w:hAnsi="Times New Roman" w:cs="Times New Roman"/>
          <w:sz w:val="24"/>
          <w:szCs w:val="24"/>
        </w:rPr>
        <w:t>Appendix S2 – Threats</w:t>
      </w:r>
    </w:p>
    <w:p w14:paraId="7A9A15F4" w14:textId="57F61D37" w:rsidR="00B52E62" w:rsidRPr="00425152" w:rsidRDefault="00B52E62" w:rsidP="00B52E62">
      <w:pPr>
        <w:rPr>
          <w:rFonts w:cs="Times New Roman"/>
          <w:szCs w:val="24"/>
        </w:rPr>
      </w:pPr>
      <w:r w:rsidRPr="00425152">
        <w:rPr>
          <w:rFonts w:cs="Times New Roman"/>
          <w:szCs w:val="24"/>
        </w:rPr>
        <w:t>Threat definitions given to expert reviewers and adapted from the International Union for Conservation of Nature (IUCN) Threats Classification Scheme v3.3 (</w:t>
      </w:r>
      <w:hyperlink r:id="rId7" w:history="1">
        <w:r w:rsidRPr="00425152">
          <w:rPr>
            <w:rStyle w:val="Hyperlink"/>
            <w:rFonts w:cs="Times New Roman"/>
            <w:szCs w:val="24"/>
          </w:rPr>
          <w:t>iucnredlist.org/resources/threat-classification-scheme</w:t>
        </w:r>
      </w:hyperlink>
      <w:r w:rsidRPr="00425152">
        <w:rPr>
          <w:rFonts w:cs="Times New Roman"/>
          <w:szCs w:val="24"/>
        </w:rPr>
        <w:t xml:space="preserve">; Accessed Apr 2023). </w:t>
      </w:r>
      <w:r w:rsidR="006A301E" w:rsidRPr="00425152">
        <w:rPr>
          <w:rFonts w:cs="Times New Roman"/>
          <w:szCs w:val="24"/>
        </w:rPr>
        <w:t>See footnotes for full dataset references.</w:t>
      </w:r>
    </w:p>
    <w:p w14:paraId="044923E9" w14:textId="77777777" w:rsidR="00B52E62" w:rsidRPr="00425152" w:rsidRDefault="00B52E62" w:rsidP="00B52E62">
      <w:pPr>
        <w:rPr>
          <w:rFonts w:cs="Times New Roman"/>
          <w:szCs w:val="24"/>
        </w:rPr>
      </w:pPr>
    </w:p>
    <w:p w14:paraId="04F35546" w14:textId="77777777" w:rsidR="00B52E62" w:rsidRPr="00425152" w:rsidRDefault="00B52E62" w:rsidP="00B52E62">
      <w:pPr>
        <w:pStyle w:val="Heading2"/>
        <w:rPr>
          <w:rFonts w:ascii="Times New Roman" w:hAnsi="Times New Roman" w:cs="Times New Roman"/>
          <w:sz w:val="24"/>
          <w:szCs w:val="24"/>
        </w:rPr>
      </w:pPr>
      <w:r w:rsidRPr="00425152">
        <w:rPr>
          <w:rFonts w:ascii="Times New Roman" w:hAnsi="Times New Roman" w:cs="Times New Roman"/>
          <w:sz w:val="24"/>
          <w:szCs w:val="24"/>
        </w:rPr>
        <w:t>Appendix S3 – Surveys</w:t>
      </w:r>
    </w:p>
    <w:p w14:paraId="061B17AE" w14:textId="77777777" w:rsidR="00B52E62" w:rsidRPr="00425152" w:rsidRDefault="00B52E62" w:rsidP="00B52E62">
      <w:pPr>
        <w:rPr>
          <w:rFonts w:cs="Times New Roman"/>
          <w:szCs w:val="24"/>
        </w:rPr>
      </w:pPr>
      <w:r w:rsidRPr="00425152">
        <w:rPr>
          <w:rFonts w:cs="Times New Roman"/>
          <w:szCs w:val="24"/>
        </w:rPr>
        <w:t>List of questions used in surveys sent to experts.</w:t>
      </w:r>
    </w:p>
    <w:p w14:paraId="586818FE" w14:textId="77777777" w:rsidR="00B52E62" w:rsidRPr="00425152" w:rsidRDefault="00B52E62" w:rsidP="00B52E62">
      <w:pPr>
        <w:rPr>
          <w:rFonts w:cs="Times New Roman"/>
          <w:szCs w:val="24"/>
        </w:rPr>
      </w:pPr>
    </w:p>
    <w:p w14:paraId="2C93BD9D" w14:textId="77777777" w:rsidR="00B52E62" w:rsidRPr="00425152" w:rsidRDefault="00B52E62" w:rsidP="00B52E62">
      <w:pPr>
        <w:pStyle w:val="Heading2"/>
        <w:rPr>
          <w:rFonts w:ascii="Times New Roman" w:hAnsi="Times New Roman" w:cs="Times New Roman"/>
          <w:sz w:val="24"/>
          <w:szCs w:val="24"/>
        </w:rPr>
      </w:pPr>
      <w:r w:rsidRPr="00425152">
        <w:rPr>
          <w:rFonts w:ascii="Times New Roman" w:hAnsi="Times New Roman" w:cs="Times New Roman"/>
          <w:sz w:val="24"/>
          <w:szCs w:val="24"/>
        </w:rPr>
        <w:t>Appendix S4 – N (All reviews)</w:t>
      </w:r>
    </w:p>
    <w:p w14:paraId="3ADDF4BF" w14:textId="77777777" w:rsidR="00B52E62" w:rsidRPr="00425152" w:rsidRDefault="00B52E62" w:rsidP="00B52E62">
      <w:pPr>
        <w:rPr>
          <w:rFonts w:cs="Times New Roman"/>
          <w:szCs w:val="24"/>
        </w:rPr>
      </w:pPr>
      <w:r w:rsidRPr="00425152">
        <w:rPr>
          <w:rFonts w:cs="Times New Roman"/>
          <w:szCs w:val="24"/>
        </w:rPr>
        <w:t>Number of expert reviews per species-threat combination for each timing (Tim), scope (Sco), and severity (Sev) score. Values highlighted in gray indicate we received fewer than three expert reviews for that variable, '-' indicates no reviews, and "Glob" is the number of expert reviews indicating the threat impacts of species on the global scale.</w:t>
      </w:r>
    </w:p>
    <w:p w14:paraId="70030C84" w14:textId="77777777" w:rsidR="00B52E62" w:rsidRPr="00425152" w:rsidRDefault="00B52E62" w:rsidP="00B52E62">
      <w:pPr>
        <w:rPr>
          <w:rFonts w:cs="Times New Roman"/>
          <w:szCs w:val="24"/>
        </w:rPr>
      </w:pPr>
    </w:p>
    <w:p w14:paraId="75CA13DE" w14:textId="77777777" w:rsidR="00B52E62" w:rsidRPr="00425152" w:rsidRDefault="00B52E62" w:rsidP="00B52E62">
      <w:pPr>
        <w:rPr>
          <w:rFonts w:cs="Times New Roman"/>
          <w:szCs w:val="24"/>
        </w:rPr>
      </w:pPr>
      <w:r w:rsidRPr="00425152">
        <w:rPr>
          <w:rFonts w:cs="Times New Roman"/>
          <w:noProof/>
          <w:szCs w:val="24"/>
        </w:rPr>
        <w:lastRenderedPageBreak/>
        <w:drawing>
          <wp:inline distT="0" distB="0" distL="0" distR="0" wp14:anchorId="583E14A5" wp14:editId="60AAD2AF">
            <wp:extent cx="5591175" cy="5653038"/>
            <wp:effectExtent l="0" t="0" r="0" b="5080"/>
            <wp:docPr id="12" name="Picture 12"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picture containing diagram&#10;&#10;Description automatically generated"/>
                    <pic:cNvPicPr/>
                  </pic:nvPicPr>
                  <pic:blipFill rotWithShape="1">
                    <a:blip r:embed="rId8" cstate="print">
                      <a:extLst>
                        <a:ext uri="{28A0092B-C50C-407E-A947-70E740481C1C}">
                          <a14:useLocalDpi xmlns:a14="http://schemas.microsoft.com/office/drawing/2010/main" val="0"/>
                        </a:ext>
                      </a:extLst>
                    </a:blip>
                    <a:srcRect r="20895"/>
                    <a:stretch/>
                  </pic:blipFill>
                  <pic:spPr bwMode="auto">
                    <a:xfrm>
                      <a:off x="0" y="0"/>
                      <a:ext cx="5599598" cy="5661554"/>
                    </a:xfrm>
                    <a:prstGeom prst="rect">
                      <a:avLst/>
                    </a:prstGeom>
                    <a:ln>
                      <a:noFill/>
                    </a:ln>
                    <a:extLst>
                      <a:ext uri="{53640926-AAD7-44D8-BBD7-CCE9431645EC}">
                        <a14:shadowObscured xmlns:a14="http://schemas.microsoft.com/office/drawing/2010/main"/>
                      </a:ext>
                    </a:extLst>
                  </pic:spPr>
                </pic:pic>
              </a:graphicData>
            </a:graphic>
          </wp:inline>
        </w:drawing>
      </w:r>
    </w:p>
    <w:p w14:paraId="4D999A8B" w14:textId="0D512DB9" w:rsidR="001E0AFA" w:rsidRPr="00425152" w:rsidRDefault="001E0AFA" w:rsidP="001E0AFA">
      <w:pPr>
        <w:pStyle w:val="Heading2"/>
        <w:rPr>
          <w:rFonts w:ascii="Times New Roman" w:hAnsi="Times New Roman" w:cs="Times New Roman"/>
          <w:bCs/>
          <w:i w:val="0"/>
          <w:iCs/>
          <w:sz w:val="24"/>
          <w:szCs w:val="24"/>
        </w:rPr>
      </w:pPr>
      <w:r w:rsidRPr="00C202E4">
        <w:rPr>
          <w:rFonts w:ascii="Times New Roman" w:hAnsi="Times New Roman" w:cs="Times New Roman"/>
          <w:bCs/>
          <w:i w:val="0"/>
          <w:iCs/>
          <w:sz w:val="24"/>
          <w:szCs w:val="24"/>
        </w:rPr>
        <w:t>Appendix S5</w:t>
      </w:r>
      <w:r w:rsidR="00C202E4" w:rsidRPr="00C202E4">
        <w:rPr>
          <w:rFonts w:ascii="Times New Roman" w:hAnsi="Times New Roman" w:cs="Times New Roman"/>
          <w:bCs/>
          <w:i w:val="0"/>
          <w:iCs/>
          <w:sz w:val="24"/>
          <w:szCs w:val="24"/>
        </w:rPr>
        <w:t>.</w:t>
      </w:r>
      <w:r w:rsidRPr="00425152">
        <w:rPr>
          <w:rFonts w:ascii="Times New Roman" w:hAnsi="Times New Roman" w:cs="Times New Roman"/>
          <w:bCs/>
          <w:sz w:val="24"/>
          <w:szCs w:val="24"/>
        </w:rPr>
        <w:t xml:space="preserve"> </w:t>
      </w:r>
      <w:r w:rsidRPr="00425152">
        <w:rPr>
          <w:rFonts w:ascii="Times New Roman" w:hAnsi="Times New Roman" w:cs="Times New Roman"/>
          <w:b w:val="0"/>
          <w:bCs/>
          <w:i w:val="0"/>
          <w:iCs/>
          <w:sz w:val="24"/>
          <w:szCs w:val="24"/>
        </w:rPr>
        <w:t>Results from our expert elicitation surveys. Shown are the (a) number of surveys retrieved per species, and distribution of expertise by percent of total surveys received (b) per country and (c) per continent. The values within each pie chart shown in (c) indicate the total number of surveys per continent, and the colors represent the proportion of surveys per taxa group for each continent. Silhouettes represent bony fishes, cetaceans, elasmobranchs, flying birds, polar bear, penguins, pinnipeds, sirenians, and turtles.</w:t>
      </w:r>
    </w:p>
    <w:p w14:paraId="300C4FCE" w14:textId="12FFD0C1" w:rsidR="001E0AFA" w:rsidRPr="00425152" w:rsidRDefault="001E0AFA">
      <w:pPr>
        <w:rPr>
          <w:rFonts w:cs="Times New Roman"/>
          <w:szCs w:val="24"/>
        </w:rPr>
      </w:pPr>
      <w:r w:rsidRPr="00425152">
        <w:rPr>
          <w:rFonts w:cs="Times New Roman"/>
          <w:szCs w:val="24"/>
        </w:rPr>
        <w:br w:type="page"/>
      </w:r>
    </w:p>
    <w:p w14:paraId="635E6382" w14:textId="77777777" w:rsidR="00B52E62" w:rsidRPr="00425152" w:rsidRDefault="00B52E62" w:rsidP="00B52E62">
      <w:pPr>
        <w:pStyle w:val="Heading2"/>
        <w:rPr>
          <w:rFonts w:ascii="Times New Roman" w:hAnsi="Times New Roman" w:cs="Times New Roman"/>
          <w:sz w:val="24"/>
          <w:szCs w:val="24"/>
        </w:rPr>
      </w:pPr>
      <w:r w:rsidRPr="00425152">
        <w:rPr>
          <w:rFonts w:ascii="Times New Roman" w:hAnsi="Times New Roman" w:cs="Times New Roman"/>
          <w:sz w:val="24"/>
          <w:szCs w:val="24"/>
        </w:rPr>
        <w:lastRenderedPageBreak/>
        <w:t>Appendix S6 – Experts</w:t>
      </w:r>
    </w:p>
    <w:p w14:paraId="371C4B9E" w14:textId="77777777" w:rsidR="00B52E62" w:rsidRPr="00425152" w:rsidRDefault="00B52E62" w:rsidP="00B52E62">
      <w:pPr>
        <w:rPr>
          <w:rFonts w:cs="Times New Roman"/>
          <w:szCs w:val="24"/>
        </w:rPr>
      </w:pPr>
      <w:r w:rsidRPr="00425152">
        <w:rPr>
          <w:rFonts w:cs="Times New Roman"/>
          <w:szCs w:val="24"/>
        </w:rPr>
        <w:t>Summary of expert demographics across all survey responses for all species and per taxa grouping. '*' indicates multiple options possible per expert, so values will not necessarily add up to the total number of surveys per grouping.</w:t>
      </w:r>
    </w:p>
    <w:p w14:paraId="538DBA9F" w14:textId="77777777" w:rsidR="00B52E62" w:rsidRPr="00425152" w:rsidRDefault="00B52E62" w:rsidP="00B52E62">
      <w:pPr>
        <w:rPr>
          <w:rFonts w:eastAsia="Times New Roman" w:cs="Times New Roman"/>
          <w:b/>
          <w:szCs w:val="24"/>
          <w:lang w:eastAsia="en-AU"/>
        </w:rPr>
      </w:pPr>
    </w:p>
    <w:p w14:paraId="7F3D57E0" w14:textId="77777777" w:rsidR="00B52E62" w:rsidRPr="00425152" w:rsidRDefault="00B52E62" w:rsidP="00B52E62">
      <w:pPr>
        <w:pStyle w:val="Heading2"/>
        <w:rPr>
          <w:rFonts w:ascii="Times New Roman" w:hAnsi="Times New Roman" w:cs="Times New Roman"/>
          <w:sz w:val="24"/>
          <w:szCs w:val="24"/>
        </w:rPr>
      </w:pPr>
      <w:r w:rsidRPr="00425152">
        <w:rPr>
          <w:rFonts w:ascii="Times New Roman" w:hAnsi="Times New Roman" w:cs="Times New Roman"/>
          <w:sz w:val="24"/>
          <w:szCs w:val="24"/>
        </w:rPr>
        <w:t>Appendix S7 – Scores (Avg – R≥3)</w:t>
      </w:r>
    </w:p>
    <w:p w14:paraId="6F611EB7" w14:textId="77777777" w:rsidR="00B52E62" w:rsidRPr="00425152" w:rsidRDefault="00B52E62" w:rsidP="00B52E62">
      <w:pPr>
        <w:rPr>
          <w:rFonts w:cs="Times New Roman"/>
          <w:szCs w:val="24"/>
        </w:rPr>
      </w:pPr>
      <w:r w:rsidRPr="00425152">
        <w:rPr>
          <w:rFonts w:cs="Times New Roman"/>
          <w:szCs w:val="24"/>
        </w:rPr>
        <w:t xml:space="preserve">Average vulnerability scores as provided by the experts consulted for all species-threat combinations with at least three expert reviews and after removing minimum and maximum scores. '-' indicates a vulnerability score of 0, and 'NA' indicates we received no expert reviews for that species-threat combination. The color of the cell indicates the vulnerability level: red = high vulnerability, orange = medium, yellow = low, and no color = negligible. 'N threats' indicates the total number of threats to which each species was rated as having at least low vulnerability. </w:t>
      </w:r>
      <w:r w:rsidRPr="00425152">
        <w:rPr>
          <w:rFonts w:cs="Times New Roman"/>
          <w:szCs w:val="24"/>
          <w:shd w:val="clear" w:color="auto" w:fill="FFFFFF"/>
        </w:rPr>
        <w:t>See Appendix S1 for threat abbreviations.</w:t>
      </w:r>
    </w:p>
    <w:p w14:paraId="7BE43382" w14:textId="77777777" w:rsidR="00B52E62" w:rsidRPr="00425152" w:rsidRDefault="00B52E62" w:rsidP="00B52E62">
      <w:pPr>
        <w:rPr>
          <w:rFonts w:cs="Times New Roman"/>
          <w:szCs w:val="24"/>
          <w:shd w:val="clear" w:color="auto" w:fill="FFFFFF"/>
        </w:rPr>
      </w:pPr>
    </w:p>
    <w:p w14:paraId="7C990B1E" w14:textId="77777777" w:rsidR="00B52E62" w:rsidRPr="00425152" w:rsidRDefault="00B52E62" w:rsidP="00B52E62">
      <w:pPr>
        <w:pStyle w:val="Heading2"/>
        <w:rPr>
          <w:rFonts w:ascii="Times New Roman" w:hAnsi="Times New Roman" w:cs="Times New Roman"/>
          <w:sz w:val="24"/>
          <w:szCs w:val="24"/>
        </w:rPr>
      </w:pPr>
      <w:r w:rsidRPr="00425152">
        <w:rPr>
          <w:rFonts w:ascii="Times New Roman" w:hAnsi="Times New Roman" w:cs="Times New Roman"/>
          <w:sz w:val="24"/>
          <w:szCs w:val="24"/>
        </w:rPr>
        <w:t>Appendix S8 – Scores (CI – R≥3)</w:t>
      </w:r>
    </w:p>
    <w:p w14:paraId="164C78B5" w14:textId="77777777" w:rsidR="00B52E62" w:rsidRPr="00425152" w:rsidRDefault="00B52E62" w:rsidP="00B52E62">
      <w:pPr>
        <w:rPr>
          <w:rFonts w:cs="Times New Roman"/>
          <w:szCs w:val="24"/>
          <w:shd w:val="clear" w:color="auto" w:fill="FFFFFF"/>
        </w:rPr>
      </w:pPr>
      <w:r w:rsidRPr="00425152">
        <w:rPr>
          <w:rFonts w:cs="Times New Roman"/>
          <w:szCs w:val="24"/>
        </w:rPr>
        <w:t xml:space="preserve">Vulnerability scores at 5 and 95% confidence intervals as provided by the experts consulted for all species-threat combinations with at least three expert reviews and after removing minimum and maximum scores. '-' indicates a vulnerability score of 0, and 'NA' indicates we received no expert reviews for that species-threat combination. The color of the cell indicates the vulnerability level: red = high vulnerability, orange = medium, yellow = low, and no color = negligible. </w:t>
      </w:r>
      <w:r w:rsidRPr="00425152">
        <w:rPr>
          <w:rFonts w:cs="Times New Roman"/>
          <w:szCs w:val="24"/>
          <w:shd w:val="clear" w:color="auto" w:fill="FFFFFF"/>
        </w:rPr>
        <w:t>See Appendix S1 for threat abbreviations.</w:t>
      </w:r>
    </w:p>
    <w:p w14:paraId="0EBF8682" w14:textId="77777777" w:rsidR="00B52E62" w:rsidRPr="00425152" w:rsidRDefault="00B52E62" w:rsidP="00B52E62">
      <w:pPr>
        <w:rPr>
          <w:rFonts w:cs="Times New Roman"/>
          <w:szCs w:val="24"/>
          <w:shd w:val="clear" w:color="auto" w:fill="FFFFFF"/>
        </w:rPr>
      </w:pPr>
    </w:p>
    <w:p w14:paraId="6497D907" w14:textId="77777777" w:rsidR="00B52E62" w:rsidRPr="00425152" w:rsidRDefault="00B52E62" w:rsidP="00B52E62">
      <w:pPr>
        <w:pStyle w:val="Heading2"/>
        <w:rPr>
          <w:rFonts w:ascii="Times New Roman" w:hAnsi="Times New Roman" w:cs="Times New Roman"/>
          <w:sz w:val="24"/>
          <w:szCs w:val="24"/>
        </w:rPr>
      </w:pPr>
      <w:r w:rsidRPr="00425152">
        <w:rPr>
          <w:rFonts w:ascii="Times New Roman" w:hAnsi="Times New Roman" w:cs="Times New Roman"/>
          <w:sz w:val="24"/>
          <w:szCs w:val="24"/>
        </w:rPr>
        <w:t>Appendix S9 – Expert certainty</w:t>
      </w:r>
    </w:p>
    <w:p w14:paraId="306DDD67" w14:textId="77777777" w:rsidR="00B52E62" w:rsidRPr="00425152" w:rsidRDefault="00B52E62" w:rsidP="00B52E62">
      <w:pPr>
        <w:rPr>
          <w:rFonts w:cs="Times New Roman"/>
          <w:szCs w:val="24"/>
        </w:rPr>
      </w:pPr>
      <w:r w:rsidRPr="00425152">
        <w:rPr>
          <w:rFonts w:cs="Times New Roman"/>
          <w:szCs w:val="24"/>
        </w:rPr>
        <w:t>Average expert certainty score across timing, scope, and severity scores for all species threat combinations. See Appendix S1 for threat abbreviations.</w:t>
      </w:r>
    </w:p>
    <w:p w14:paraId="01D37590" w14:textId="77777777" w:rsidR="00B52E62" w:rsidRPr="00425152" w:rsidRDefault="00B52E62" w:rsidP="00B52E62">
      <w:pPr>
        <w:rPr>
          <w:rFonts w:cs="Times New Roman"/>
          <w:szCs w:val="24"/>
        </w:rPr>
      </w:pPr>
    </w:p>
    <w:p w14:paraId="65D2B092" w14:textId="616F8BEB" w:rsidR="00B52E62" w:rsidRPr="00425152" w:rsidRDefault="00B52E62" w:rsidP="001449ED">
      <w:pPr>
        <w:pStyle w:val="Heading2"/>
        <w:rPr>
          <w:rFonts w:ascii="Times New Roman" w:hAnsi="Times New Roman" w:cs="Times New Roman"/>
          <w:sz w:val="24"/>
          <w:szCs w:val="24"/>
        </w:rPr>
      </w:pPr>
      <w:r w:rsidRPr="00425152">
        <w:rPr>
          <w:rFonts w:ascii="Times New Roman" w:hAnsi="Times New Roman" w:cs="Times New Roman"/>
          <w:sz w:val="24"/>
          <w:szCs w:val="24"/>
          <w:shd w:val="clear" w:color="auto" w:fill="FFFFFF"/>
        </w:rPr>
        <w:br w:type="page"/>
      </w:r>
    </w:p>
    <w:p w14:paraId="5ECCC03B" w14:textId="77777777" w:rsidR="00B52E62" w:rsidRPr="00425152" w:rsidRDefault="00B52E62" w:rsidP="00B52E62">
      <w:pPr>
        <w:rPr>
          <w:rFonts w:cs="Times New Roman"/>
          <w:szCs w:val="24"/>
        </w:rPr>
      </w:pPr>
      <w:r w:rsidRPr="00425152">
        <w:rPr>
          <w:rFonts w:cs="Times New Roman"/>
          <w:noProof/>
          <w:szCs w:val="24"/>
        </w:rPr>
        <w:lastRenderedPageBreak/>
        <w:drawing>
          <wp:inline distT="0" distB="0" distL="0" distR="0" wp14:anchorId="14616E20" wp14:editId="10E759A5">
            <wp:extent cx="5686425" cy="1633907"/>
            <wp:effectExtent l="0" t="0" r="0" b="4445"/>
            <wp:docPr id="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screenshot of a computer&#10;&#10;Description automatically generated"/>
                    <pic:cNvPicPr/>
                  </pic:nvPicPr>
                  <pic:blipFill rotWithShape="1">
                    <a:blip r:embed="rId9" cstate="print">
                      <a:extLst>
                        <a:ext uri="{28A0092B-C50C-407E-A947-70E740481C1C}">
                          <a14:useLocalDpi xmlns:a14="http://schemas.microsoft.com/office/drawing/2010/main" val="0"/>
                        </a:ext>
                      </a:extLst>
                    </a:blip>
                    <a:srcRect r="12088" b="55101"/>
                    <a:stretch/>
                  </pic:blipFill>
                  <pic:spPr bwMode="auto">
                    <a:xfrm>
                      <a:off x="0" y="0"/>
                      <a:ext cx="5705717" cy="1639450"/>
                    </a:xfrm>
                    <a:prstGeom prst="rect">
                      <a:avLst/>
                    </a:prstGeom>
                    <a:ln>
                      <a:noFill/>
                    </a:ln>
                    <a:extLst>
                      <a:ext uri="{53640926-AAD7-44D8-BBD7-CCE9431645EC}">
                        <a14:shadowObscured xmlns:a14="http://schemas.microsoft.com/office/drawing/2010/main"/>
                      </a:ext>
                    </a:extLst>
                  </pic:spPr>
                </pic:pic>
              </a:graphicData>
            </a:graphic>
          </wp:inline>
        </w:drawing>
      </w:r>
    </w:p>
    <w:p w14:paraId="6FF7868D" w14:textId="1679855D" w:rsidR="00B52E62" w:rsidRPr="00C202E4" w:rsidRDefault="001449ED" w:rsidP="00C202E4">
      <w:pPr>
        <w:pStyle w:val="Heading2"/>
        <w:rPr>
          <w:rFonts w:ascii="Times New Roman" w:hAnsi="Times New Roman" w:cs="Times New Roman"/>
          <w:i w:val="0"/>
          <w:iCs/>
          <w:sz w:val="24"/>
          <w:szCs w:val="24"/>
          <w:shd w:val="clear" w:color="auto" w:fill="FFFFFF"/>
        </w:rPr>
      </w:pPr>
      <w:r w:rsidRPr="00C202E4">
        <w:rPr>
          <w:rFonts w:ascii="Times New Roman" w:hAnsi="Times New Roman" w:cs="Times New Roman"/>
          <w:i w:val="0"/>
          <w:iCs/>
          <w:sz w:val="24"/>
          <w:szCs w:val="24"/>
        </w:rPr>
        <w:t>Appendix S10</w:t>
      </w:r>
      <w:r w:rsidR="00C202E4" w:rsidRPr="00C202E4">
        <w:rPr>
          <w:rFonts w:ascii="Times New Roman" w:hAnsi="Times New Roman" w:cs="Times New Roman"/>
          <w:i w:val="0"/>
          <w:iCs/>
          <w:sz w:val="24"/>
          <w:szCs w:val="24"/>
        </w:rPr>
        <w:t xml:space="preserve">. </w:t>
      </w:r>
      <w:r w:rsidRPr="00C202E4">
        <w:rPr>
          <w:rFonts w:ascii="Times New Roman" w:hAnsi="Times New Roman" w:cs="Times New Roman"/>
          <w:b w:val="0"/>
          <w:bCs/>
          <w:i w:val="0"/>
          <w:iCs/>
          <w:sz w:val="24"/>
          <w:szCs w:val="24"/>
        </w:rPr>
        <w:t>Average vulnerability of species obtained for each threat showing the 5 and 95% confidence intervals</w:t>
      </w:r>
      <w:r w:rsidR="00C202E4" w:rsidRPr="00C202E4">
        <w:rPr>
          <w:rFonts w:ascii="Times New Roman" w:hAnsi="Times New Roman" w:cs="Times New Roman"/>
          <w:b w:val="0"/>
          <w:bCs/>
          <w:i w:val="0"/>
          <w:iCs/>
          <w:sz w:val="24"/>
          <w:szCs w:val="24"/>
        </w:rPr>
        <w:t xml:space="preserve">. </w:t>
      </w:r>
      <w:r w:rsidRPr="00C202E4">
        <w:rPr>
          <w:rFonts w:ascii="Times New Roman" w:hAnsi="Times New Roman" w:cs="Times New Roman"/>
          <w:b w:val="0"/>
          <w:bCs/>
          <w:i w:val="0"/>
          <w:iCs/>
          <w:sz w:val="24"/>
          <w:szCs w:val="24"/>
        </w:rPr>
        <w:t xml:space="preserve">Two scenarios were considered for all data for any species-threat combination with at least: i) one expert review (All; Appendix S1), and ii) three expert reviews and removing the minimum and maximum timing, scope, and severity scores from each combination (R≥3; Appendix S8), showing patterns are similar across all datasets. </w:t>
      </w:r>
      <w:r w:rsidRPr="00C202E4">
        <w:rPr>
          <w:rFonts w:ascii="Times New Roman" w:hAnsi="Times New Roman" w:cs="Times New Roman"/>
          <w:b w:val="0"/>
          <w:bCs/>
          <w:i w:val="0"/>
          <w:iCs/>
          <w:sz w:val="24"/>
          <w:szCs w:val="24"/>
          <w:shd w:val="clear" w:color="auto" w:fill="FFFFFF"/>
        </w:rPr>
        <w:t xml:space="preserve">See Appendix S1 for threat abbreviations. </w:t>
      </w:r>
      <w:r w:rsidRPr="00C202E4">
        <w:rPr>
          <w:rFonts w:ascii="Times New Roman" w:hAnsi="Times New Roman" w:cs="Times New Roman"/>
          <w:b w:val="0"/>
          <w:bCs/>
          <w:i w:val="0"/>
          <w:iCs/>
          <w:sz w:val="24"/>
          <w:szCs w:val="24"/>
        </w:rPr>
        <w:t>Threats include climate change threats: ocean acidification (OA), oxygen minimum zones (OMZ), ultraviolet radiation (UV), sea level rise (SLR), and temperature extremes (TE); Coastal impact threats: agriculture runoff (AGRI), urban runoff (URB), aquaculture (AQUA), tourism (TOUR), direct human intrusions (DHI), and light pollution (LIGHT); Fishing threats: drifting longliners (DLONG), seiners (SEINE), trawlers (TRAWL), fixed gear (FIXED), trollers (TROLL), pole &amp; line (POLE), and artisanal fisheries (ART); and maritime disturbance threats: shipping (SHIP), benthic oil rigs (OIL), noise pollution (NOIS), plastics &amp; other solid waste (PLAS), and maritime pollution (MPOLL).</w:t>
      </w:r>
      <w:r w:rsidR="00B52E62" w:rsidRPr="00C202E4">
        <w:rPr>
          <w:rFonts w:ascii="Times New Roman" w:hAnsi="Times New Roman" w:cs="Times New Roman"/>
          <w:i w:val="0"/>
          <w:iCs/>
          <w:sz w:val="24"/>
          <w:szCs w:val="24"/>
        </w:rPr>
        <w:br w:type="page"/>
      </w:r>
    </w:p>
    <w:p w14:paraId="23E1DB4C" w14:textId="77777777" w:rsidR="00B52E62" w:rsidRPr="00425152" w:rsidRDefault="00B52E62" w:rsidP="00B52E62">
      <w:pPr>
        <w:rPr>
          <w:rFonts w:cs="Times New Roman"/>
          <w:szCs w:val="24"/>
        </w:rPr>
      </w:pPr>
      <w:r w:rsidRPr="00425152">
        <w:rPr>
          <w:rFonts w:cs="Times New Roman"/>
          <w:noProof/>
          <w:szCs w:val="24"/>
        </w:rPr>
        <w:lastRenderedPageBreak/>
        <w:drawing>
          <wp:inline distT="0" distB="0" distL="0" distR="0" wp14:anchorId="0BAA64B9" wp14:editId="22E6BBE4">
            <wp:extent cx="5679832" cy="8203223"/>
            <wp:effectExtent l="0" t="0" r="0" b="7620"/>
            <wp:docPr id="2" name="Picture 2" descr="A sheet of music with black and whit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sheet of music with black and white lines&#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687090" cy="8213705"/>
                    </a:xfrm>
                    <a:prstGeom prst="rect">
                      <a:avLst/>
                    </a:prstGeom>
                  </pic:spPr>
                </pic:pic>
              </a:graphicData>
            </a:graphic>
          </wp:inline>
        </w:drawing>
      </w:r>
    </w:p>
    <w:p w14:paraId="771B10AD" w14:textId="56E22510" w:rsidR="00425152" w:rsidRPr="00C202E4" w:rsidRDefault="00425152" w:rsidP="00425152">
      <w:pPr>
        <w:pStyle w:val="Heading2"/>
        <w:rPr>
          <w:rFonts w:ascii="Times New Roman" w:hAnsi="Times New Roman" w:cs="Times New Roman"/>
          <w:b w:val="0"/>
          <w:bCs/>
          <w:i w:val="0"/>
          <w:iCs/>
          <w:sz w:val="24"/>
          <w:szCs w:val="24"/>
        </w:rPr>
      </w:pPr>
      <w:r w:rsidRPr="00C202E4">
        <w:rPr>
          <w:rFonts w:ascii="Times New Roman" w:hAnsi="Times New Roman" w:cs="Times New Roman"/>
          <w:i w:val="0"/>
          <w:iCs/>
          <w:sz w:val="24"/>
          <w:szCs w:val="24"/>
        </w:rPr>
        <w:lastRenderedPageBreak/>
        <w:t>Appendix S11.</w:t>
      </w:r>
      <w:r w:rsidRPr="00C202E4">
        <w:rPr>
          <w:rFonts w:ascii="Times New Roman" w:hAnsi="Times New Roman" w:cs="Times New Roman"/>
          <w:b w:val="0"/>
          <w:bCs/>
          <w:i w:val="0"/>
          <w:iCs/>
          <w:sz w:val="24"/>
          <w:szCs w:val="24"/>
        </w:rPr>
        <w:t xml:space="preserve"> Average vulnerability scores for pelagic cetaceans, elasmobranchs, and flying birds and their respective sub-taxa groupings for each threat considered in each category. </w:t>
      </w:r>
      <w:r w:rsidRPr="00C202E4">
        <w:rPr>
          <w:rFonts w:ascii="Times New Roman" w:hAnsi="Times New Roman" w:cs="Times New Roman"/>
          <w:b w:val="0"/>
          <w:bCs/>
          <w:i w:val="0"/>
          <w:iCs/>
          <w:color w:val="000000"/>
          <w:sz w:val="24"/>
          <w:szCs w:val="24"/>
          <w:shd w:val="clear" w:color="auto" w:fill="FFFFFF"/>
        </w:rPr>
        <w:t xml:space="preserve">Depicted are the averages per taxa (circles) with confidence intervals (shown as bars). </w:t>
      </w:r>
      <w:r w:rsidRPr="00C202E4">
        <w:rPr>
          <w:rFonts w:ascii="Times New Roman" w:hAnsi="Times New Roman" w:cs="Times New Roman"/>
          <w:b w:val="0"/>
          <w:bCs/>
          <w:i w:val="0"/>
          <w:iCs/>
          <w:sz w:val="24"/>
          <w:szCs w:val="24"/>
        </w:rPr>
        <w:t>The highest vulnerability scores are indicated with thick boxes indicating the threat(s) that result in the highest vulnerability for each taxon; and thin boxes indicate the threat resulted in the highest vulnerability score in each threat category for each taxon (where no threats from that category are among the highest for that taxa). Dotted lines represent the confidence intervals for the threat that had the highest average vulnerability score for that taxa. Threats include climate change threats: ocean acidification (OA), oxygen minimum zones (OMZ), ultraviolet radiation (UV), sea level rise (SLR), and temperature extremes (TE); Coastal impact threats: agriculture runoff (AGRI), urban runoff (URB), aquaculture (AQUA), tourism (TOUR), direct human intrusions (DHI), and light pollution (LIGHT); Fishing threats: drifting longliners (DLONG), seiners (SEINE), trawlers (TRAWL), fixed gear (FIXED), trollers (TROLL), pole &amp; line (POLE), and artisanal fisheries (ART); and maritime disturbance threats: shipping (SHIP), benthic oil rigs (OIL), noise pollution (NOIS), plastics &amp; other solid waste (PLAS), and maritime pollution (MPOLL).</w:t>
      </w:r>
    </w:p>
    <w:p w14:paraId="7AF1D73D" w14:textId="6AD36E6C" w:rsidR="00580CBF" w:rsidRPr="00425152" w:rsidRDefault="00580CBF">
      <w:pPr>
        <w:rPr>
          <w:rFonts w:cs="Times New Roman"/>
          <w:szCs w:val="24"/>
        </w:rPr>
      </w:pPr>
      <w:r w:rsidRPr="00425152">
        <w:rPr>
          <w:rFonts w:cs="Times New Roman"/>
          <w:szCs w:val="24"/>
        </w:rPr>
        <w:br w:type="page"/>
      </w:r>
    </w:p>
    <w:p w14:paraId="32EE3EC3" w14:textId="6D8C0585" w:rsidR="006516BF" w:rsidRPr="00425152" w:rsidRDefault="009B4B45" w:rsidP="006516BF">
      <w:pPr>
        <w:rPr>
          <w:rFonts w:cs="Times New Roman"/>
          <w:szCs w:val="24"/>
          <w:lang w:val="en-AU"/>
        </w:rPr>
      </w:pPr>
      <w:r w:rsidRPr="00425152">
        <w:rPr>
          <w:rFonts w:cs="Times New Roman"/>
          <w:noProof/>
          <w:szCs w:val="24"/>
          <w:lang w:val="en-AU"/>
        </w:rPr>
        <w:lastRenderedPageBreak/>
        <w:drawing>
          <wp:inline distT="0" distB="0" distL="0" distR="0" wp14:anchorId="2FBCA525" wp14:editId="0C1D8733">
            <wp:extent cx="4533900" cy="4238625"/>
            <wp:effectExtent l="0" t="0" r="0" b="9525"/>
            <wp:docPr id="3" name="Picture 3" descr="A chart with different colored circ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chart with different colored circles&#10;&#10;Description automatically generated"/>
                    <pic:cNvPicPr/>
                  </pic:nvPicPr>
                  <pic:blipFill rotWithShape="1">
                    <a:blip r:embed="rId11" cstate="print">
                      <a:extLst>
                        <a:ext uri="{28A0092B-C50C-407E-A947-70E740481C1C}">
                          <a14:useLocalDpi xmlns:a14="http://schemas.microsoft.com/office/drawing/2010/main" val="0"/>
                        </a:ext>
                      </a:extLst>
                    </a:blip>
                    <a:srcRect r="20895" b="30112"/>
                    <a:stretch/>
                  </pic:blipFill>
                  <pic:spPr bwMode="auto">
                    <a:xfrm>
                      <a:off x="0" y="0"/>
                      <a:ext cx="4533900" cy="4238625"/>
                    </a:xfrm>
                    <a:prstGeom prst="rect">
                      <a:avLst/>
                    </a:prstGeom>
                    <a:ln>
                      <a:noFill/>
                    </a:ln>
                    <a:extLst>
                      <a:ext uri="{53640926-AAD7-44D8-BBD7-CCE9431645EC}">
                        <a14:shadowObscured xmlns:a14="http://schemas.microsoft.com/office/drawing/2010/main"/>
                      </a:ext>
                    </a:extLst>
                  </pic:spPr>
                </pic:pic>
              </a:graphicData>
            </a:graphic>
          </wp:inline>
        </w:drawing>
      </w:r>
    </w:p>
    <w:p w14:paraId="3C8E7ED7" w14:textId="01E838E4" w:rsidR="00425152" w:rsidRPr="00425152" w:rsidRDefault="00425152" w:rsidP="00425152">
      <w:pPr>
        <w:pStyle w:val="Heading2"/>
        <w:rPr>
          <w:rFonts w:ascii="Times New Roman" w:hAnsi="Times New Roman" w:cs="Times New Roman"/>
          <w:sz w:val="24"/>
          <w:szCs w:val="24"/>
        </w:rPr>
      </w:pPr>
      <w:r w:rsidRPr="00425152">
        <w:rPr>
          <w:rFonts w:ascii="Times New Roman" w:hAnsi="Times New Roman" w:cs="Times New Roman"/>
          <w:i w:val="0"/>
          <w:iCs/>
          <w:sz w:val="24"/>
          <w:szCs w:val="24"/>
        </w:rPr>
        <w:t>Appendix S12</w:t>
      </w:r>
      <w:r w:rsidR="00C202E4">
        <w:rPr>
          <w:rFonts w:ascii="Times New Roman" w:hAnsi="Times New Roman" w:cs="Times New Roman"/>
          <w:i w:val="0"/>
          <w:iCs/>
          <w:sz w:val="24"/>
          <w:szCs w:val="24"/>
        </w:rPr>
        <w:t xml:space="preserve">. </w:t>
      </w:r>
      <w:r w:rsidRPr="00425152">
        <w:rPr>
          <w:rFonts w:ascii="Times New Roman" w:hAnsi="Times New Roman" w:cs="Times New Roman"/>
          <w:b w:val="0"/>
          <w:bCs/>
          <w:i w:val="0"/>
          <w:sz w:val="24"/>
          <w:szCs w:val="24"/>
        </w:rPr>
        <w:t xml:space="preserve">Matrix of species ranked in high, medium, or low vulnerability categories to at least one threat. Vulnerability categories depicted on the x-axis are derived from the average vulnerability scores for the 23 threats calculated in the present study, while the y-axis depicts those using the most recent IUCN Red List species assessments for each species considering all threats rated by the IUCN Red List (The International Union for Conservation of Nature; </w:t>
      </w:r>
      <w:hyperlink r:id="rId12" w:history="1">
        <w:r w:rsidRPr="00425152">
          <w:rPr>
            <w:rStyle w:val="Hyperlink"/>
            <w:rFonts w:ascii="Times New Roman" w:hAnsi="Times New Roman" w:cs="Times New Roman"/>
            <w:b w:val="0"/>
            <w:bCs/>
            <w:i w:val="0"/>
            <w:sz w:val="24"/>
            <w:szCs w:val="24"/>
          </w:rPr>
          <w:t>iucnredlist.org</w:t>
        </w:r>
      </w:hyperlink>
      <w:r w:rsidRPr="00425152">
        <w:rPr>
          <w:rFonts w:ascii="Times New Roman" w:hAnsi="Times New Roman" w:cs="Times New Roman"/>
          <w:b w:val="0"/>
          <w:bCs/>
          <w:i w:val="0"/>
          <w:sz w:val="24"/>
          <w:szCs w:val="24"/>
        </w:rPr>
        <w:t>; accessed Apr 2023). ‘Unknown’ indicates that no threat had timing, scope, and severity (i.e., the components of vulnerability category scores) rated for that species on the IUCN Red List assessment. Silhouettes represent bony fishes, cetaceans, elasmobranchs, flying birds, polar bear, penguins, pinnipeds, sirenians, and turtles. CR = Critically Endangered, EN = Endangered, VU = Vulnerable, NT = Near Threatened, LC = Least Concern, and DD = Data Deficient.</w:t>
      </w:r>
      <w:r w:rsidRPr="00425152">
        <w:rPr>
          <w:rFonts w:ascii="Times New Roman" w:hAnsi="Times New Roman" w:cs="Times New Roman"/>
          <w:sz w:val="24"/>
          <w:szCs w:val="24"/>
          <w:lang w:eastAsia="en-AU"/>
        </w:rPr>
        <w:t xml:space="preserve"> </w:t>
      </w:r>
    </w:p>
    <w:p w14:paraId="7FBD6FC3" w14:textId="77777777" w:rsidR="00425152" w:rsidRPr="00425152" w:rsidRDefault="00425152" w:rsidP="006516BF">
      <w:pPr>
        <w:rPr>
          <w:rFonts w:cs="Times New Roman"/>
          <w:szCs w:val="24"/>
          <w:lang w:val="en-AU"/>
        </w:rPr>
      </w:pPr>
    </w:p>
    <w:sectPr w:rsidR="00425152" w:rsidRPr="00425152" w:rsidSect="00503136">
      <w:headerReference w:type="even" r:id="rId13"/>
      <w:headerReference w:type="default" r:id="rId14"/>
      <w:footerReference w:type="even" r:id="rId15"/>
      <w:footerReference w:type="default" r:id="rId16"/>
      <w:headerReference w:type="first" r:id="rId17"/>
      <w:footerReference w:type="firs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326D411" w14:textId="77777777" w:rsidR="007221CC" w:rsidRDefault="007221CC" w:rsidP="00503136">
      <w:pPr>
        <w:spacing w:after="0" w:line="240" w:lineRule="auto"/>
      </w:pPr>
      <w:r>
        <w:separator/>
      </w:r>
    </w:p>
  </w:endnote>
  <w:endnote w:type="continuationSeparator" w:id="0">
    <w:p w14:paraId="35DE8EC0" w14:textId="77777777" w:rsidR="007221CC" w:rsidRDefault="007221CC" w:rsidP="005031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1F6FB2" w14:textId="77777777" w:rsidR="00503136" w:rsidRDefault="0050313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87362076"/>
      <w:docPartObj>
        <w:docPartGallery w:val="Page Numbers (Bottom of Page)"/>
        <w:docPartUnique/>
      </w:docPartObj>
    </w:sdtPr>
    <w:sdtEndPr>
      <w:rPr>
        <w:noProof/>
      </w:rPr>
    </w:sdtEndPr>
    <w:sdtContent>
      <w:bookmarkStart w:id="0" w:name="_GoBack" w:displacedByCustomXml="prev"/>
      <w:bookmarkEnd w:id="0" w:displacedByCustomXml="prev"/>
      <w:p w14:paraId="0C4F7FEA" w14:textId="2EF5EF43" w:rsidR="00503136" w:rsidRDefault="0050313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E68CDE7" w14:textId="77777777" w:rsidR="00503136" w:rsidRDefault="0050313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F0F0B7" w14:textId="77777777" w:rsidR="00503136" w:rsidRDefault="0050313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8EBB23" w14:textId="77777777" w:rsidR="007221CC" w:rsidRDefault="007221CC" w:rsidP="00503136">
      <w:pPr>
        <w:spacing w:after="0" w:line="240" w:lineRule="auto"/>
      </w:pPr>
      <w:r>
        <w:separator/>
      </w:r>
    </w:p>
  </w:footnote>
  <w:footnote w:type="continuationSeparator" w:id="0">
    <w:p w14:paraId="46A9CCAA" w14:textId="77777777" w:rsidR="007221CC" w:rsidRDefault="007221CC" w:rsidP="005031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644578" w14:textId="77777777" w:rsidR="00503136" w:rsidRDefault="0050313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7D6ECD" w14:textId="77777777" w:rsidR="00503136" w:rsidRDefault="0050313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58C654" w14:textId="77777777" w:rsidR="00503136" w:rsidRDefault="00503136">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0639"/>
    <w:rsid w:val="0002228C"/>
    <w:rsid w:val="000509FE"/>
    <w:rsid w:val="00096F97"/>
    <w:rsid w:val="000A0E0E"/>
    <w:rsid w:val="000E2A37"/>
    <w:rsid w:val="000F7978"/>
    <w:rsid w:val="001449ED"/>
    <w:rsid w:val="00182AA3"/>
    <w:rsid w:val="001A2B7E"/>
    <w:rsid w:val="001E0AFA"/>
    <w:rsid w:val="00253EA0"/>
    <w:rsid w:val="003267B1"/>
    <w:rsid w:val="003629C2"/>
    <w:rsid w:val="00392E3D"/>
    <w:rsid w:val="003A5CE1"/>
    <w:rsid w:val="00425152"/>
    <w:rsid w:val="004557FB"/>
    <w:rsid w:val="004A6E3E"/>
    <w:rsid w:val="00503136"/>
    <w:rsid w:val="00580CBF"/>
    <w:rsid w:val="006516BF"/>
    <w:rsid w:val="006A301E"/>
    <w:rsid w:val="007025AF"/>
    <w:rsid w:val="00705240"/>
    <w:rsid w:val="007221CC"/>
    <w:rsid w:val="00787882"/>
    <w:rsid w:val="007B554F"/>
    <w:rsid w:val="007D62CE"/>
    <w:rsid w:val="0088418D"/>
    <w:rsid w:val="0088739C"/>
    <w:rsid w:val="00891C04"/>
    <w:rsid w:val="00904142"/>
    <w:rsid w:val="009B4B45"/>
    <w:rsid w:val="00A03FC2"/>
    <w:rsid w:val="00A23CBC"/>
    <w:rsid w:val="00A374CA"/>
    <w:rsid w:val="00A83894"/>
    <w:rsid w:val="00B52E62"/>
    <w:rsid w:val="00B80089"/>
    <w:rsid w:val="00B90639"/>
    <w:rsid w:val="00BF4F01"/>
    <w:rsid w:val="00C202E4"/>
    <w:rsid w:val="00D36132"/>
    <w:rsid w:val="00DB397B"/>
    <w:rsid w:val="00E90C49"/>
    <w:rsid w:val="00F1126D"/>
    <w:rsid w:val="00FC785E"/>
    <w:rsid w:val="00FD1F5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62D865"/>
  <w15:chartTrackingRefBased/>
  <w15:docId w15:val="{EAB7BF6D-4C9E-4BAD-B547-087D6C378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52E62"/>
    <w:rPr>
      <w:rFonts w:ascii="Times New Roman" w:hAnsi="Times New Roman"/>
      <w:sz w:val="24"/>
      <w:lang w:val="en-US"/>
    </w:rPr>
  </w:style>
  <w:style w:type="paragraph" w:styleId="Heading1">
    <w:name w:val="heading 1"/>
    <w:basedOn w:val="Normal"/>
    <w:next w:val="Normal"/>
    <w:link w:val="Heading1Char"/>
    <w:uiPriority w:val="9"/>
    <w:qFormat/>
    <w:rsid w:val="00B52E62"/>
    <w:pPr>
      <w:keepNext/>
      <w:keepLines/>
      <w:spacing w:before="240" w:after="0" w:line="240" w:lineRule="auto"/>
      <w:outlineLvl w:val="0"/>
    </w:pPr>
    <w:rPr>
      <w:rFonts w:eastAsia="Times New Roman" w:cs="Times New Roman"/>
      <w:b/>
      <w:szCs w:val="24"/>
      <w:lang w:eastAsia="en-AU"/>
    </w:rPr>
  </w:style>
  <w:style w:type="paragraph" w:styleId="Heading2">
    <w:name w:val="heading 2"/>
    <w:basedOn w:val="Normal"/>
    <w:next w:val="Normal"/>
    <w:link w:val="Heading2Char"/>
    <w:uiPriority w:val="9"/>
    <w:qFormat/>
    <w:rsid w:val="0088739C"/>
    <w:pPr>
      <w:keepNext/>
      <w:keepLines/>
      <w:spacing w:before="40" w:after="0" w:line="276" w:lineRule="auto"/>
      <w:outlineLvl w:val="1"/>
    </w:pPr>
    <w:rPr>
      <w:rFonts w:asciiTheme="minorHAnsi" w:hAnsiTheme="minorHAnsi"/>
      <w:b/>
      <w:i/>
      <w:sz w:val="22"/>
      <w:lang w:val="en-AU"/>
    </w:rPr>
  </w:style>
  <w:style w:type="paragraph" w:styleId="Heading3">
    <w:name w:val="heading 3"/>
    <w:basedOn w:val="Normal"/>
    <w:next w:val="Normal"/>
    <w:link w:val="Heading3Char"/>
    <w:qFormat/>
    <w:rsid w:val="0088739C"/>
    <w:pPr>
      <w:keepNext/>
      <w:keepLines/>
      <w:spacing w:before="40" w:after="0" w:line="240" w:lineRule="auto"/>
      <w:outlineLvl w:val="2"/>
    </w:pPr>
    <w:rPr>
      <w:rFonts w:asciiTheme="minorHAnsi" w:eastAsia="Calibri" w:hAnsiTheme="minorHAnsi" w:cs="Calibri"/>
      <w:b/>
      <w:color w:val="000000" w:themeColor="text1"/>
      <w:sz w:val="22"/>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88739C"/>
    <w:rPr>
      <w:rFonts w:eastAsia="Calibri" w:cs="Calibri"/>
      <w:b/>
      <w:color w:val="000000" w:themeColor="text1"/>
    </w:rPr>
  </w:style>
  <w:style w:type="character" w:customStyle="1" w:styleId="Heading2Char">
    <w:name w:val="Heading 2 Char"/>
    <w:basedOn w:val="DefaultParagraphFont"/>
    <w:link w:val="Heading2"/>
    <w:uiPriority w:val="9"/>
    <w:rsid w:val="0088739C"/>
    <w:rPr>
      <w:b/>
      <w:i/>
    </w:rPr>
  </w:style>
  <w:style w:type="character" w:customStyle="1" w:styleId="Heading1Char">
    <w:name w:val="Heading 1 Char"/>
    <w:basedOn w:val="DefaultParagraphFont"/>
    <w:link w:val="Heading1"/>
    <w:uiPriority w:val="9"/>
    <w:rsid w:val="00B52E62"/>
    <w:rPr>
      <w:rFonts w:ascii="Times New Roman" w:eastAsia="Times New Roman" w:hAnsi="Times New Roman" w:cs="Times New Roman"/>
      <w:b/>
      <w:sz w:val="24"/>
      <w:szCs w:val="24"/>
      <w:lang w:val="en-US" w:eastAsia="en-AU"/>
    </w:rPr>
  </w:style>
  <w:style w:type="character" w:styleId="Hyperlink">
    <w:name w:val="Hyperlink"/>
    <w:basedOn w:val="DefaultParagraphFont"/>
    <w:uiPriority w:val="99"/>
    <w:unhideWhenUsed/>
    <w:rsid w:val="00B52E62"/>
    <w:rPr>
      <w:color w:val="0563C1"/>
      <w:u w:val="single"/>
    </w:rPr>
  </w:style>
  <w:style w:type="character" w:styleId="LineNumber">
    <w:name w:val="line number"/>
    <w:basedOn w:val="DefaultParagraphFont"/>
    <w:uiPriority w:val="99"/>
    <w:semiHidden/>
    <w:unhideWhenUsed/>
    <w:rsid w:val="00B52E62"/>
  </w:style>
  <w:style w:type="paragraph" w:styleId="CommentText">
    <w:name w:val="annotation text"/>
    <w:basedOn w:val="Normal"/>
    <w:link w:val="CommentTextChar"/>
    <w:uiPriority w:val="99"/>
    <w:semiHidden/>
    <w:unhideWhenUsed/>
    <w:rsid w:val="00904142"/>
    <w:pPr>
      <w:spacing w:after="0" w:line="240" w:lineRule="auto"/>
    </w:pPr>
    <w:rPr>
      <w:rFonts w:eastAsia="Times New Roman" w:cs="Times New Roman"/>
      <w:sz w:val="20"/>
      <w:szCs w:val="20"/>
      <w:lang w:eastAsia="en-AU"/>
    </w:rPr>
  </w:style>
  <w:style w:type="character" w:customStyle="1" w:styleId="CommentTextChar">
    <w:name w:val="Comment Text Char"/>
    <w:basedOn w:val="DefaultParagraphFont"/>
    <w:link w:val="CommentText"/>
    <w:uiPriority w:val="99"/>
    <w:semiHidden/>
    <w:rsid w:val="00904142"/>
    <w:rPr>
      <w:rFonts w:ascii="Times New Roman" w:eastAsia="Times New Roman" w:hAnsi="Times New Roman" w:cs="Times New Roman"/>
      <w:sz w:val="20"/>
      <w:szCs w:val="20"/>
      <w:lang w:val="en-US" w:eastAsia="en-AU"/>
    </w:rPr>
  </w:style>
  <w:style w:type="character" w:styleId="CommentReference">
    <w:name w:val="annotation reference"/>
    <w:basedOn w:val="DefaultParagraphFont"/>
    <w:uiPriority w:val="99"/>
    <w:semiHidden/>
    <w:unhideWhenUsed/>
    <w:rsid w:val="00904142"/>
    <w:rPr>
      <w:sz w:val="16"/>
      <w:szCs w:val="16"/>
    </w:rPr>
  </w:style>
  <w:style w:type="paragraph" w:styleId="Header">
    <w:name w:val="header"/>
    <w:basedOn w:val="Normal"/>
    <w:link w:val="HeaderChar"/>
    <w:uiPriority w:val="99"/>
    <w:unhideWhenUsed/>
    <w:rsid w:val="00503136"/>
    <w:pPr>
      <w:tabs>
        <w:tab w:val="center" w:pos="4513"/>
        <w:tab w:val="right" w:pos="9026"/>
      </w:tabs>
      <w:spacing w:after="0" w:line="240" w:lineRule="auto"/>
    </w:pPr>
  </w:style>
  <w:style w:type="character" w:customStyle="1" w:styleId="HeaderChar">
    <w:name w:val="Header Char"/>
    <w:basedOn w:val="DefaultParagraphFont"/>
    <w:link w:val="Header"/>
    <w:uiPriority w:val="99"/>
    <w:rsid w:val="00503136"/>
    <w:rPr>
      <w:rFonts w:ascii="Times New Roman" w:hAnsi="Times New Roman"/>
      <w:sz w:val="24"/>
      <w:lang w:val="en-US"/>
    </w:rPr>
  </w:style>
  <w:style w:type="paragraph" w:styleId="Footer">
    <w:name w:val="footer"/>
    <w:basedOn w:val="Normal"/>
    <w:link w:val="FooterChar"/>
    <w:uiPriority w:val="99"/>
    <w:unhideWhenUsed/>
    <w:rsid w:val="00503136"/>
    <w:pPr>
      <w:tabs>
        <w:tab w:val="center" w:pos="4513"/>
        <w:tab w:val="right" w:pos="9026"/>
      </w:tabs>
      <w:spacing w:after="0" w:line="240" w:lineRule="auto"/>
    </w:pPr>
  </w:style>
  <w:style w:type="character" w:customStyle="1" w:styleId="FooterChar">
    <w:name w:val="Footer Char"/>
    <w:basedOn w:val="DefaultParagraphFont"/>
    <w:link w:val="Footer"/>
    <w:uiPriority w:val="99"/>
    <w:rsid w:val="00503136"/>
    <w:rPr>
      <w:rFonts w:ascii="Times New Roman" w:hAnsi="Times New Roman"/>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4196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hyperlink" Target="https://www.iucnredlist.org/resources/threat-classification-scheme" TargetMode="External"/><Relationship Id="rId12" Type="http://schemas.openxmlformats.org/officeDocument/2006/relationships/hyperlink" Target="http://www.iucnredlist.org" TargetMode="External"/><Relationship Id="rId17" Type="http://schemas.openxmlformats.org/officeDocument/2006/relationships/header" Target="header3.xml"/><Relationship Id="rId2" Type="http://schemas.openxmlformats.org/officeDocument/2006/relationships/settings" Target="setting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www.iucnredlist.org" TargetMode="External"/><Relationship Id="rId11" Type="http://schemas.openxmlformats.org/officeDocument/2006/relationships/image" Target="media/image4.png"/><Relationship Id="rId5" Type="http://schemas.openxmlformats.org/officeDocument/2006/relationships/endnotes" Target="endnotes.xml"/><Relationship Id="rId15"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2.png"/><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1244</Words>
  <Characters>7092</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 Van Compernolle</dc:creator>
  <cp:keywords/>
  <dc:description/>
  <cp:lastModifiedBy>Mrs. HJ Lotter</cp:lastModifiedBy>
  <cp:revision>2</cp:revision>
  <dcterms:created xsi:type="dcterms:W3CDTF">2026-03-20T09:37:00Z</dcterms:created>
  <dcterms:modified xsi:type="dcterms:W3CDTF">2026-03-20T09:37:00Z</dcterms:modified>
</cp:coreProperties>
</file>