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10.png" ContentType="image/png"/>
  <Override PartName="/word/media/image6.png" ContentType="image/png"/>
  <Override PartName="/word/media/image11.png" ContentType="image/png"/>
  <Override PartName="/word/media/image7.png" ContentType="image/png"/>
  <Override PartName="/word/media/image12.png" ContentType="image/png"/>
  <Override PartName="/word/media/image8.png" ContentType="image/png"/>
  <Override PartName="/word/media/image13.png" ContentType="image/png"/>
  <Override PartName="/word/media/image9.png" ContentType="image/png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Onormal"/>
        <w:spacing w:lineRule="auto" w:line="360"/>
        <w:jc w:val="left"/>
        <w:rPr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>Uneven sequencing (coverage) depth can bias microbial intraspecies diversity estimates and how to account for it</w:t>
      </w:r>
    </w:p>
    <w:p>
      <w:pPr>
        <w:pStyle w:val="LOnormal"/>
        <w:spacing w:lineRule="auto" w:line="480"/>
        <w:jc w:val="both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  <w:lang w:val="es-ES"/>
        </w:rPr>
        <w:t>Esteban Bustos-Caparros</w:t>
      </w:r>
      <w:r>
        <w:rPr>
          <w:rFonts w:eastAsia="Arial" w:cs="Arial" w:ascii="Arial" w:hAnsi="Arial"/>
          <w:sz w:val="20"/>
          <w:szCs w:val="20"/>
          <w:vertAlign w:val="superscript"/>
          <w:lang w:val="es-ES"/>
        </w:rPr>
        <w:t>1</w:t>
      </w:r>
      <w:r>
        <w:rPr>
          <w:rFonts w:eastAsia="Arial" w:cs="Arial" w:ascii="Arial" w:hAnsi="Arial"/>
          <w:sz w:val="20"/>
          <w:szCs w:val="20"/>
          <w:lang w:val="es-ES"/>
        </w:rPr>
        <w:t>*, Tomeu Viver</w:t>
      </w:r>
      <w:r>
        <w:rPr>
          <w:rFonts w:eastAsia="Arial" w:cs="Arial" w:ascii="Arial" w:hAnsi="Arial"/>
          <w:sz w:val="20"/>
          <w:szCs w:val="20"/>
          <w:vertAlign w:val="superscript"/>
          <w:lang w:val="es-ES"/>
        </w:rPr>
        <w:t>1</w:t>
      </w:r>
      <w:r>
        <w:rPr>
          <w:rFonts w:eastAsia="Arial" w:cs="Arial" w:ascii="Arial" w:hAnsi="Arial"/>
          <w:sz w:val="20"/>
          <w:szCs w:val="20"/>
          <w:lang w:val="es-ES"/>
        </w:rPr>
        <w:t>, Juan F. Gago</w:t>
      </w:r>
      <w:r>
        <w:rPr>
          <w:rFonts w:eastAsia="Arial" w:cs="Arial" w:ascii="Arial" w:hAnsi="Arial"/>
          <w:sz w:val="20"/>
          <w:szCs w:val="20"/>
          <w:vertAlign w:val="superscript"/>
          <w:lang w:val="es-ES"/>
        </w:rPr>
        <w:t>1</w:t>
      </w:r>
      <w:r>
        <w:rPr>
          <w:rFonts w:eastAsia="Arial" w:cs="Arial" w:ascii="Arial" w:hAnsi="Arial"/>
          <w:sz w:val="20"/>
          <w:szCs w:val="20"/>
          <w:lang w:val="es-ES"/>
        </w:rPr>
        <w:t>, Stephanus N. Venter</w:t>
      </w:r>
      <w:r>
        <w:rPr>
          <w:rFonts w:eastAsia="Arial" w:cs="Arial" w:ascii="Arial" w:hAnsi="Arial"/>
          <w:sz w:val="20"/>
          <w:szCs w:val="20"/>
          <w:vertAlign w:val="superscript"/>
          <w:lang w:val="es-ES"/>
        </w:rPr>
        <w:t>2</w:t>
      </w:r>
      <w:r>
        <w:rPr>
          <w:rFonts w:eastAsia="Arial" w:cs="Arial" w:ascii="Arial" w:hAnsi="Arial"/>
          <w:sz w:val="20"/>
          <w:szCs w:val="20"/>
          <w:lang w:val="es-ES"/>
        </w:rPr>
        <w:t>, Rafael Bosch</w:t>
      </w:r>
      <w:r>
        <w:rPr>
          <w:rFonts w:eastAsia="Arial" w:cs="Arial" w:ascii="Arial" w:hAnsi="Arial"/>
          <w:sz w:val="20"/>
          <w:szCs w:val="20"/>
          <w:vertAlign w:val="superscript"/>
          <w:lang w:val="es-ES"/>
        </w:rPr>
        <w:t>3</w:t>
      </w:r>
      <w:r>
        <w:rPr>
          <w:rFonts w:eastAsia="Arial" w:cs="Arial" w:ascii="Arial" w:hAnsi="Arial"/>
          <w:sz w:val="20"/>
          <w:szCs w:val="20"/>
          <w:lang w:val="es-ES"/>
        </w:rPr>
        <w:t>, Konstantinos T. Konstantinidis</w:t>
      </w:r>
      <w:r>
        <w:rPr>
          <w:rFonts w:eastAsia="Arial" w:cs="Arial" w:ascii="Arial" w:hAnsi="Arial"/>
          <w:sz w:val="20"/>
          <w:szCs w:val="20"/>
          <w:vertAlign w:val="superscript"/>
          <w:lang w:val="es-ES"/>
        </w:rPr>
        <w:t>4</w:t>
      </w:r>
      <w:r>
        <w:rPr>
          <w:rFonts w:eastAsia="Arial" w:cs="Arial" w:ascii="Arial" w:hAnsi="Arial"/>
          <w:sz w:val="20"/>
          <w:szCs w:val="20"/>
          <w:lang w:val="es-ES"/>
        </w:rPr>
        <w:t>, Luis M. Rodriguez-R</w:t>
      </w:r>
      <w:r>
        <w:rPr>
          <w:rFonts w:eastAsia="Arial" w:cs="Arial" w:ascii="Arial" w:hAnsi="Arial"/>
          <w:sz w:val="20"/>
          <w:szCs w:val="20"/>
          <w:vertAlign w:val="superscript"/>
          <w:lang w:val="es-ES"/>
        </w:rPr>
        <w:t>5,6</w:t>
      </w:r>
      <w:r>
        <w:rPr>
          <w:rFonts w:eastAsia="Arial" w:cs="Arial" w:ascii="Arial" w:hAnsi="Arial"/>
          <w:sz w:val="20"/>
          <w:szCs w:val="20"/>
          <w:lang w:val="es-ES"/>
        </w:rPr>
        <w:t>*, Ramon Rossello-Mora</w:t>
      </w:r>
      <w:r>
        <w:rPr>
          <w:rFonts w:eastAsia="Arial" w:cs="Arial" w:ascii="Arial" w:hAnsi="Arial"/>
          <w:sz w:val="20"/>
          <w:szCs w:val="20"/>
          <w:vertAlign w:val="superscript"/>
          <w:lang w:val="es-ES"/>
        </w:rPr>
        <w:t>1</w:t>
      </w:r>
      <w:r>
        <w:rPr>
          <w:rFonts w:eastAsia="Arial" w:cs="Arial" w:ascii="Arial" w:hAnsi="Arial"/>
          <w:sz w:val="20"/>
          <w:szCs w:val="20"/>
          <w:lang w:val="es-ES"/>
        </w:rPr>
        <w:t>*.</w:t>
      </w:r>
    </w:p>
    <w:p>
      <w:pPr>
        <w:pStyle w:val="LOnormal"/>
        <w:spacing w:lineRule="auto" w:line="480"/>
        <w:jc w:val="both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  <w:vertAlign w:val="superscript"/>
        </w:rPr>
        <w:t xml:space="preserve">1 </w:t>
      </w:r>
      <w:r>
        <w:rPr>
          <w:rFonts w:eastAsia="Arial" w:cs="Arial" w:ascii="Arial" w:hAnsi="Arial"/>
          <w:sz w:val="20"/>
          <w:szCs w:val="20"/>
        </w:rPr>
        <w:t>Marine Microbiology Group (MMG), Department of Animal and Microbial Biodiversity, Mediterranean Institute for Advanced Studies (IMEDEA, CSIC-UIB), Esporles, Spain.</w:t>
      </w:r>
    </w:p>
    <w:p>
      <w:pPr>
        <w:pStyle w:val="LOnormal"/>
        <w:spacing w:lineRule="auto" w:line="480"/>
        <w:jc w:val="both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  <w:vertAlign w:val="superscript"/>
        </w:rPr>
        <w:t xml:space="preserve">2 </w:t>
      </w:r>
      <w:r>
        <w:rPr>
          <w:rFonts w:eastAsia="Arial" w:cs="Arial" w:ascii="Arial" w:hAnsi="Arial"/>
          <w:sz w:val="20"/>
          <w:szCs w:val="20"/>
        </w:rPr>
        <w:t>Department of Biochemistry, Genetics and Microbiology, and Forestry and Agricultural Biotechnology Institute (FABI), University of Pretoria, Pretoria, South Africa.</w:t>
      </w:r>
    </w:p>
    <w:p>
      <w:pPr>
        <w:pStyle w:val="LOnormal"/>
        <w:spacing w:lineRule="auto" w:line="480"/>
        <w:jc w:val="both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  <w:vertAlign w:val="superscript"/>
          <w:lang w:val="es-ES"/>
        </w:rPr>
        <w:t xml:space="preserve">3 </w:t>
      </w:r>
      <w:r>
        <w:rPr>
          <w:rFonts w:eastAsia="Arial" w:cs="Arial" w:ascii="Arial" w:hAnsi="Arial"/>
          <w:sz w:val="20"/>
          <w:szCs w:val="20"/>
          <w:lang w:val="es-ES"/>
        </w:rPr>
        <w:t>Microbiologia, Departament de Biologia, Edifici Guillem Colom, Universitat de les Illes Balears, Campus UIB, 07122 Palma de Mallorca, Spain.</w:t>
      </w:r>
    </w:p>
    <w:p>
      <w:pPr>
        <w:pStyle w:val="LOnormal"/>
        <w:spacing w:lineRule="auto" w:line="480"/>
        <w:jc w:val="both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  <w:vertAlign w:val="superscript"/>
          <w:lang w:val="es-ES"/>
        </w:rPr>
        <w:t xml:space="preserve">4 </w:t>
      </w:r>
      <w:r>
        <w:rPr>
          <w:rFonts w:eastAsia="Arial" w:cs="Arial" w:ascii="Arial" w:hAnsi="Arial"/>
          <w:sz w:val="20"/>
          <w:szCs w:val="20"/>
          <w:lang w:val="es-ES"/>
        </w:rPr>
        <w:t>School of Civil and Environmental Engineering and School of Biological Sciences, Georgia Institute of Technology, Atlanta, GA, USA.</w:t>
      </w:r>
    </w:p>
    <w:p>
      <w:pPr>
        <w:pStyle w:val="LOnormal"/>
        <w:spacing w:lineRule="auto" w:line="480"/>
        <w:jc w:val="both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  <w:vertAlign w:val="superscript"/>
        </w:rPr>
        <w:t>5</w:t>
      </w:r>
      <w:r>
        <w:rPr>
          <w:rFonts w:eastAsia="Arial" w:cs="Arial" w:ascii="Arial" w:hAnsi="Arial"/>
          <w:position w:val="0"/>
          <w:sz w:val="20"/>
          <w:sz w:val="20"/>
          <w:szCs w:val="20"/>
          <w:vertAlign w:val="baseline"/>
        </w:rPr>
        <w:t xml:space="preserve"> Department</w:t>
      </w:r>
      <w:r>
        <w:rPr>
          <w:rFonts w:eastAsia="Arial" w:cs="Arial" w:ascii="Arial" w:hAnsi="Arial"/>
          <w:sz w:val="20"/>
          <w:szCs w:val="20"/>
        </w:rPr>
        <w:t xml:space="preserve"> of Chemistry and Biosciences, Aalborg University, Aalborg, Denmark.</w:t>
      </w:r>
    </w:p>
    <w:p>
      <w:pPr>
        <w:pStyle w:val="LOnormal"/>
        <w:spacing w:lineRule="auto" w:line="480"/>
        <w:jc w:val="both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  <w:vertAlign w:val="superscript"/>
        </w:rPr>
        <w:t xml:space="preserve">6 </w:t>
      </w:r>
      <w:r>
        <w:rPr>
          <w:rFonts w:eastAsia="Arial" w:cs="Arial" w:ascii="Arial" w:hAnsi="Arial"/>
          <w:sz w:val="20"/>
          <w:szCs w:val="20"/>
        </w:rPr>
        <w:t>Department of Microbiology and Digital Science Center (DiSC), University of Innsbruck, Innsbruck, Austria.</w:t>
      </w:r>
    </w:p>
    <w:p>
      <w:pPr>
        <w:pStyle w:val="LOnormal"/>
        <w:spacing w:lineRule="auto" w:line="360"/>
        <w:jc w:val="both"/>
        <w:rPr/>
      </w:pPr>
      <w:r>
        <w:rPr>
          <w:rFonts w:eastAsia="Arial" w:cs="Arial" w:ascii="Arial" w:hAnsi="Arial"/>
          <w:color w:val="000000" w:themeColor="text1"/>
          <w:sz w:val="20"/>
          <w:szCs w:val="20"/>
        </w:rPr>
        <w:t>*Corresponding authors: Esteban Bustos-Caparros, Marine Microbiology Group (MMG), Department of Animal and Microbial Biodiversity, Mediterranean Institute for Advanced Studies (IMEDEA, CSIC-UIB), Carrer Miquel Marqu</w:t>
      </w:r>
      <w:r>
        <w:rPr>
          <w:rFonts w:cs="Arial" w:ascii="Arial" w:hAnsi="Arial"/>
          <w:color w:val="000000" w:themeColor="text1"/>
          <w:sz w:val="20"/>
          <w:szCs w:val="20"/>
          <w:lang w:eastAsia="en-US" w:bidi="ar-SA"/>
        </w:rPr>
        <w:t xml:space="preserve">ès 21, </w:t>
      </w:r>
      <w:r>
        <w:rPr>
          <w:rFonts w:eastAsia="Arial" w:cs="Arial" w:ascii="Arial" w:hAnsi="Arial"/>
          <w:color w:val="000000" w:themeColor="text1"/>
          <w:sz w:val="20"/>
          <w:szCs w:val="20"/>
        </w:rPr>
        <w:t xml:space="preserve">Esporles, Illes Balears, 07190, Spain. Email: </w:t>
      </w:r>
      <w:hyperlink r:id="rId2">
        <w:r>
          <w:rPr>
            <w:rStyle w:val="InternetLink"/>
            <w:rFonts w:eastAsia="Arial" w:cs="Arial" w:ascii="Arial" w:hAnsi="Arial"/>
            <w:color w:val="000000" w:themeColor="text1"/>
            <w:sz w:val="20"/>
            <w:szCs w:val="20"/>
          </w:rPr>
          <w:t>ebustos@imedea.uib-csic.es</w:t>
        </w:r>
      </w:hyperlink>
      <w:r>
        <w:rPr>
          <w:rFonts w:eastAsia="Arial" w:cs="Arial" w:ascii="Arial" w:hAnsi="Arial"/>
          <w:color w:val="000000" w:themeColor="text1"/>
          <w:sz w:val="20"/>
          <w:szCs w:val="20"/>
        </w:rPr>
        <w:t xml:space="preserve">, Luis M. Rodriguez-R, Department of Chemistry and Biosciences, Aalborg University, Frederik Bajers Vej 7H, 9000 Aalborg, Denmark. Email: </w:t>
      </w:r>
      <w:hyperlink r:id="rId3">
        <w:r>
          <w:rPr>
            <w:rStyle w:val="InternetLink"/>
            <w:rFonts w:eastAsia="Arial" w:cs="Arial" w:ascii="Arial" w:hAnsi="Arial"/>
            <w:color w:val="000000"/>
            <w:sz w:val="20"/>
            <w:szCs w:val="20"/>
          </w:rPr>
          <w:t>lmrodriguezr@gmail.co</w:t>
        </w:r>
      </w:hyperlink>
      <w:r>
        <w:rPr>
          <w:rFonts w:eastAsia="Arial" w:cs="Arial" w:ascii="Arial" w:hAnsi="Arial"/>
          <w:color w:val="000000"/>
          <w:sz w:val="20"/>
          <w:szCs w:val="20"/>
          <w:u w:val="single"/>
        </w:rPr>
        <w:t>m</w:t>
      </w:r>
      <w:r>
        <w:rPr>
          <w:rFonts w:eastAsia="Arial" w:cs="Arial" w:ascii="Arial" w:hAnsi="Arial"/>
          <w:color w:val="000080"/>
          <w:sz w:val="20"/>
          <w:szCs w:val="20"/>
        </w:rPr>
        <w:t xml:space="preserve">, </w:t>
      </w:r>
      <w:r>
        <w:rPr>
          <w:rFonts w:eastAsia="Arial" w:cs="Arial" w:ascii="Arial" w:hAnsi="Arial"/>
          <w:color w:val="000000" w:themeColor="text1"/>
          <w:sz w:val="20"/>
          <w:szCs w:val="20"/>
        </w:rPr>
        <w:t>Ramon Rossello-Mora, Marine Microbiology Group (MMG), Department of Animal and Microbial Biodiversity, Mediterranean Institute for Advanced Studies (IMEDEA, CSIC-UIB), Carrer Miquel Marqu</w:t>
      </w:r>
      <w:r>
        <w:rPr>
          <w:rFonts w:cs="Arial" w:ascii="Arial" w:hAnsi="Arial"/>
          <w:color w:val="000000" w:themeColor="text1"/>
          <w:sz w:val="20"/>
          <w:szCs w:val="20"/>
          <w:lang w:eastAsia="en-US" w:bidi="ar-SA"/>
        </w:rPr>
        <w:t xml:space="preserve">ès 21, </w:t>
      </w:r>
      <w:r>
        <w:rPr>
          <w:rFonts w:eastAsia="Arial" w:cs="Arial" w:ascii="Arial" w:hAnsi="Arial"/>
          <w:color w:val="000000" w:themeColor="text1"/>
          <w:sz w:val="20"/>
          <w:szCs w:val="20"/>
        </w:rPr>
        <w:t xml:space="preserve">Esporles, Illes Balears, 07190, Spain. Email: </w:t>
      </w:r>
      <w:r>
        <w:rPr>
          <w:rStyle w:val="InternetLink"/>
          <w:rFonts w:eastAsia="Arial" w:cs="Arial" w:ascii="Arial" w:hAnsi="Arial"/>
          <w:color w:val="000000" w:themeColor="text1"/>
          <w:sz w:val="20"/>
          <w:szCs w:val="20"/>
        </w:rPr>
        <w:t>ramon@imedea.uib-csic.es</w:t>
      </w:r>
    </w:p>
    <w:p>
      <w:pPr>
        <w:pStyle w:val="Normal"/>
        <w:spacing w:lineRule="auto" w:line="480" w:before="0" w:after="0"/>
        <w:jc w:val="both"/>
        <w:rPr>
          <w:rStyle w:val="InternetLink"/>
          <w:rFonts w:ascii="Arial" w:hAnsi="Arial" w:eastAsia="Arial" w:cs="Arial"/>
          <w:b w:val="false"/>
          <w:b w:val="false"/>
          <w:bCs w:val="false"/>
          <w:color w:val="000000" w:themeColor="text1"/>
          <w:sz w:val="20"/>
          <w:szCs w:val="20"/>
          <w:u w:val="none"/>
        </w:rPr>
      </w:pPr>
      <w:r>
        <w:rPr>
          <w:rStyle w:val="InternetLink"/>
          <w:rFonts w:eastAsia="Arial" w:cs="Arial" w:ascii="Arial" w:hAnsi="Arial"/>
          <w:b/>
          <w:bCs/>
          <w:color w:val="000000" w:themeColor="text1"/>
          <w:sz w:val="20"/>
          <w:szCs w:val="20"/>
          <w:u w:val="none"/>
          <w:lang w:val="es-ES"/>
        </w:rPr>
        <w:t xml:space="preserve">Running title: </w:t>
      </w:r>
      <w:r>
        <w:rPr>
          <w:rStyle w:val="InternetLink"/>
          <w:rFonts w:eastAsia="Arial" w:cs="Arial" w:ascii="Arial" w:hAnsi="Arial"/>
          <w:color w:val="000000" w:themeColor="text1"/>
          <w:sz w:val="20"/>
          <w:szCs w:val="20"/>
          <w:u w:val="none"/>
          <w:lang w:val="es-ES"/>
        </w:rPr>
        <w:t>Sequencing depth can bias microdiversity</w:t>
      </w:r>
      <w:r>
        <w:br w:type="page"/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Supplementary Figure S1: </w:t>
      </w:r>
      <w:r>
        <w:rPr>
          <w:rFonts w:cs="Arial" w:ascii="Arial" w:hAnsi="Arial"/>
          <w:b w:val="false"/>
          <w:bCs w:val="false"/>
          <w:sz w:val="20"/>
          <w:szCs w:val="20"/>
        </w:rPr>
        <w:t>Schematic representation of the methods used to evaluate the sequencing (coverage) depth bias on microdiversity estimates (pi and ANIr) using both environmental and synthetic metagenomes</w:t>
      </w:r>
      <w:r>
        <w:rPr>
          <w:rFonts w:cs="Arial" w:ascii="Arial" w:hAnsi="Arial"/>
          <w:b w:val="false"/>
          <w:bCs w:val="false"/>
          <w:color w:val="000000"/>
          <w:sz w:val="20"/>
          <w:szCs w:val="20"/>
          <w:shd w:fill="FFFFFF" w:val="clear"/>
        </w:rPr>
        <w:t>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/>
        <w:drawing>
          <wp:inline distT="0" distB="0" distL="0" distR="0">
            <wp:extent cx="6314440" cy="4462145"/>
            <wp:effectExtent l="0" t="0" r="0" b="0"/>
            <wp:docPr id="1" name="Image1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6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4440" cy="4462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  <w:r>
        <w:br w:type="page"/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Supplementary Figure S2: </w:t>
      </w:r>
      <w:r>
        <w:rPr>
          <w:rFonts w:cs="Arial" w:ascii="Arial" w:hAnsi="Arial"/>
          <w:sz w:val="20"/>
          <w:szCs w:val="20"/>
        </w:rPr>
        <w:t>Model plot representing the microdiversity estimate (nucleotide diversity or ANIr) trend along an increasing sequencing (coverage) depth. Each line represents the microdiversity estimate (y-axis), represented as Microdiversity ratio, and sequencing (coverage) depth (x-axis) obtained for a single MAG across each metagenome. The Microdiversity ratio was calculated by dividing the nucleotide diversity or ANIr obtained from each fraction of a metagenome by the nucleotide diversity or ANIr obtained from the entire metagenome (100% of reads). Green lines indicate positive correlations (i.e. in</w:t>
      </w:r>
      <w:r>
        <w:rPr>
          <w:rFonts w:cs="Arial" w:ascii="Arial" w:hAnsi="Arial"/>
          <w:color w:val="000000"/>
          <w:sz w:val="20"/>
          <w:szCs w:val="20"/>
          <w:shd w:fill="FFFFFF" w:val="clear"/>
        </w:rPr>
        <w:t>creasing microdiversity with coverage depth)</w:t>
      </w:r>
      <w:r>
        <w:rPr>
          <w:rFonts w:cs="Arial" w:ascii="Arial" w:hAnsi="Arial"/>
          <w:sz w:val="20"/>
          <w:szCs w:val="20"/>
        </w:rPr>
        <w:t xml:space="preserve">, and red lines indicate negative correlations (i.e. </w:t>
      </w:r>
      <w:r>
        <w:rPr>
          <w:rFonts w:cs="Arial" w:ascii="Arial" w:hAnsi="Arial"/>
          <w:color w:val="000000"/>
          <w:sz w:val="20"/>
          <w:szCs w:val="20"/>
          <w:shd w:fill="FFFFFF" w:val="clear"/>
        </w:rPr>
        <w:t>decreasing microdiversity with coverage depth).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/>
        <w:t>​</w:t>
      </w:r>
      <w:r>
        <w:drawing>
          <wp:anchor behindDoc="0" distT="0" distB="0" distL="0" distR="0" simplePos="0" locked="0" layoutInCell="0" allowOverlap="1" relativeHeight="8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4479290"/>
            <wp:effectExtent l="0" t="0" r="0" b="0"/>
            <wp:wrapSquare wrapText="largest"/>
            <wp:docPr id="2" name="Image1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7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4479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​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  <w:r>
        <w:br w:type="page"/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>Supplementary Figure S3:</w:t>
      </w:r>
      <w:r>
        <w:rPr>
          <w:rFonts w:cs="Arial" w:ascii="Arial" w:hAnsi="Arial"/>
          <w:sz w:val="20"/>
          <w:szCs w:val="20"/>
        </w:rPr>
        <w:t xml:space="preserve"> Estimation of the impact of sequencing depth from 500X to ~1,400X on the accuracy of nucleotide diversity (</w:t>
      </w:r>
      <w:r>
        <w:rPr>
          <w:rFonts w:cs="Arial" w:ascii="Arial" w:hAnsi="Arial"/>
          <w:i/>
          <w:iCs/>
          <w:sz w:val="20"/>
          <w:szCs w:val="20"/>
        </w:rPr>
        <w:t>π</w:t>
      </w:r>
      <w:r>
        <w:rPr>
          <w:rFonts w:cs="Arial" w:ascii="Arial" w:hAnsi="Arial"/>
          <w:sz w:val="20"/>
          <w:szCs w:val="20"/>
        </w:rPr>
        <w:t xml:space="preserve">) estimates across hypersaline and marine metagenomes using Illumina sequencing platform. The microdiversity ratio represents the </w:t>
      </w:r>
      <w:r>
        <w:rPr>
          <w:rFonts w:cs="Arial" w:ascii="Arial" w:hAnsi="Arial"/>
          <w:i/>
          <w:iCs/>
          <w:sz w:val="20"/>
          <w:szCs w:val="20"/>
        </w:rPr>
        <w:t>π</w:t>
      </w:r>
      <w:r>
        <w:rPr>
          <w:rFonts w:cs="Arial" w:ascii="Arial" w:hAnsi="Arial"/>
          <w:sz w:val="20"/>
          <w:szCs w:val="20"/>
        </w:rPr>
        <w:t xml:space="preserve"> obtained for each subsample of a metagenome divided by the </w:t>
      </w:r>
      <w:r>
        <w:rPr>
          <w:rFonts w:cs="Arial" w:ascii="Arial" w:hAnsi="Arial"/>
          <w:i/>
          <w:iCs/>
          <w:sz w:val="20"/>
          <w:szCs w:val="20"/>
        </w:rPr>
        <w:t xml:space="preserve">π </w:t>
      </w:r>
      <w:r>
        <w:rPr>
          <w:rFonts w:cs="Arial" w:ascii="Arial" w:hAnsi="Arial"/>
          <w:sz w:val="20"/>
          <w:szCs w:val="20"/>
        </w:rPr>
        <w:t>of the whole-metagenome, with ratio = 1 meaning that microdiversity in the subsample is equal to microdiversity in the whole-metagenome. Note that each line represents the microdiversity estimate of one MAG in a given metagenome. Green lines indicated larger microdiversity at increasing sequencing depth (i.e. expected trend; microdiversity ratio &lt; 1).</w:t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/>
        <w:t>​</w:t>
      </w:r>
      <w:r>
        <w:drawing>
          <wp:anchor behindDoc="0" distT="0" distB="0" distL="0" distR="0" simplePos="0" locked="0" layoutInCell="0" allowOverlap="1" relativeHeight="14">
            <wp:simplePos x="0" y="0"/>
            <wp:positionH relativeFrom="column">
              <wp:posOffset>663575</wp:posOffset>
            </wp:positionH>
            <wp:positionV relativeFrom="paragraph">
              <wp:posOffset>26670</wp:posOffset>
            </wp:positionV>
            <wp:extent cx="5069840" cy="7166610"/>
            <wp:effectExtent l="0" t="0" r="0" b="0"/>
            <wp:wrapSquare wrapText="largest"/>
            <wp:docPr id="3" name="Image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5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9840" cy="7166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​</w:t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  <w:r>
        <w:br w:type="page"/>
      </w:r>
    </w:p>
    <w:p>
      <w:pPr>
        <w:pStyle w:val="Normal"/>
        <w:spacing w:lineRule="auto" w:line="276"/>
        <w:jc w:val="both"/>
        <w:rPr/>
      </w:pPr>
      <w:r>
        <w:rPr>
          <w:rFonts w:cs="Arial" w:ascii="Arial" w:hAnsi="Arial"/>
          <w:b/>
          <w:bCs/>
          <w:sz w:val="20"/>
          <w:szCs w:val="20"/>
        </w:rPr>
        <w:t>Supplementary Figure S4:</w:t>
      </w:r>
      <w:r>
        <w:rPr>
          <w:rFonts w:cs="Arial" w:ascii="Arial" w:hAnsi="Arial"/>
          <w:sz w:val="20"/>
          <w:szCs w:val="20"/>
        </w:rPr>
        <w:t xml:space="preserve"> Barplots showing nucleotide diversity (π) estimates of each of the ten species analyzed from the hypersaline microbiome using Illumina metagenomes (n = 15). Color gradient represents the sequencing depth values across metagenomes per each species.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drawing>
          <wp:anchor behindDoc="0" distT="0" distB="0" distL="0" distR="0" simplePos="0" locked="0" layoutInCell="0" allowOverlap="1" relativeHeight="9">
            <wp:simplePos x="0" y="0"/>
            <wp:positionH relativeFrom="column">
              <wp:posOffset>147955</wp:posOffset>
            </wp:positionH>
            <wp:positionV relativeFrom="paragraph">
              <wp:posOffset>20955</wp:posOffset>
            </wp:positionV>
            <wp:extent cx="5517515" cy="7799070"/>
            <wp:effectExtent l="0" t="0" r="0" b="0"/>
            <wp:wrapSquare wrapText="largest"/>
            <wp:docPr id="4" name="Image2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0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7515" cy="77990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  <w:r>
        <w:br w:type="page"/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>Supplementary Figure S5:</w:t>
      </w:r>
      <w:r>
        <w:rPr>
          <w:rFonts w:cs="Arial" w:ascii="Arial" w:hAnsi="Arial"/>
          <w:sz w:val="20"/>
          <w:szCs w:val="20"/>
        </w:rPr>
        <w:t xml:space="preserve"> Barplots showing nucleotide diversity (π) estimates of each of the ten species analyzed from the marine microbiome using PacBio metagenomes (n = 15). Color gradient represents the sequencing depth values across metagenomes per each species.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drawing>
          <wp:anchor behindDoc="0" distT="0" distB="0" distL="0" distR="0" simplePos="0" locked="0" layoutInCell="0" allowOverlap="1" relativeHeight="10">
            <wp:simplePos x="0" y="0"/>
            <wp:positionH relativeFrom="column">
              <wp:posOffset>408305</wp:posOffset>
            </wp:positionH>
            <wp:positionV relativeFrom="paragraph">
              <wp:posOffset>95250</wp:posOffset>
            </wp:positionV>
            <wp:extent cx="5405755" cy="7641590"/>
            <wp:effectExtent l="0" t="0" r="0" b="0"/>
            <wp:wrapSquare wrapText="largest"/>
            <wp:docPr id="5" name="Image2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21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5755" cy="7641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  <w:r>
        <w:br w:type="page"/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>Supplementary Figure S6:</w:t>
      </w:r>
      <w:r>
        <w:rPr>
          <w:rFonts w:cs="Arial" w:ascii="Arial" w:hAnsi="Arial"/>
          <w:sz w:val="20"/>
          <w:szCs w:val="20"/>
        </w:rPr>
        <w:t xml:space="preserve"> Barplots showing nucleotide diversity (π) estimates of each of the ten species analyzed from the marine microbiome using Illumina metagenomes (n = 4). Color gradient represents the sequencing depth values across metagenomes per each species.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drawing>
          <wp:anchor behindDoc="0" distT="0" distB="0" distL="0" distR="0" simplePos="0" locked="0" layoutInCell="0" allowOverlap="1" relativeHeight="11">
            <wp:simplePos x="0" y="0"/>
            <wp:positionH relativeFrom="column">
              <wp:posOffset>354330</wp:posOffset>
            </wp:positionH>
            <wp:positionV relativeFrom="paragraph">
              <wp:posOffset>143510</wp:posOffset>
            </wp:positionV>
            <wp:extent cx="5431155" cy="7677785"/>
            <wp:effectExtent l="0" t="0" r="0" b="0"/>
            <wp:wrapSquare wrapText="largest"/>
            <wp:docPr id="6" name="Image2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2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1155" cy="7677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  <w:r>
        <w:br w:type="page"/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>Supplementary Figure S7:</w:t>
      </w:r>
      <w:r>
        <w:rPr>
          <w:rFonts w:cs="Arial" w:ascii="Arial" w:hAnsi="Arial"/>
          <w:sz w:val="20"/>
          <w:szCs w:val="20"/>
        </w:rPr>
        <w:t xml:space="preserve"> Barplots showing nucleotide diversity (π) estimates of each of the ten species analyzed from the human gut microbiome using ONT metagenomes(n = 15). Color gradient represents the sequencing depth values across metagenomes per each species.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drawing>
          <wp:anchor behindDoc="0" distT="0" distB="0" distL="0" distR="0" simplePos="0" locked="0" layoutInCell="0" allowOverlap="1" relativeHeight="12">
            <wp:simplePos x="0" y="0"/>
            <wp:positionH relativeFrom="column">
              <wp:posOffset>384175</wp:posOffset>
            </wp:positionH>
            <wp:positionV relativeFrom="paragraph">
              <wp:posOffset>78105</wp:posOffset>
            </wp:positionV>
            <wp:extent cx="5396865" cy="7628890"/>
            <wp:effectExtent l="0" t="0" r="0" b="0"/>
            <wp:wrapSquare wrapText="largest"/>
            <wp:docPr id="7" name="Image2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23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865" cy="7628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  <w:r>
        <w:br w:type="page"/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>Supplementary Figure S8:</w:t>
      </w:r>
      <w:r>
        <w:rPr>
          <w:rFonts w:cs="Arial" w:ascii="Arial" w:hAnsi="Arial"/>
          <w:sz w:val="20"/>
          <w:szCs w:val="20"/>
        </w:rPr>
        <w:t xml:space="preserve"> Barplots showing nucleotide diversity (π) estimates of each of the ten species analyzed from the human gut microbiome using Illumina metagenomes (n = 4). Color gradient represents the sequencing depth values across metagenomes per each species.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drawing>
          <wp:anchor behindDoc="0" distT="0" distB="0" distL="0" distR="0" simplePos="0" locked="0" layoutInCell="0" allowOverlap="1" relativeHeight="13">
            <wp:simplePos x="0" y="0"/>
            <wp:positionH relativeFrom="column">
              <wp:posOffset>417195</wp:posOffset>
            </wp:positionH>
            <wp:positionV relativeFrom="paragraph">
              <wp:posOffset>32385</wp:posOffset>
            </wp:positionV>
            <wp:extent cx="5380990" cy="7606030"/>
            <wp:effectExtent l="0" t="0" r="0" b="0"/>
            <wp:wrapSquare wrapText="largest"/>
            <wp:docPr id="8" name="Image2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4" descr="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0990" cy="7606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  <w:r>
        <w:br w:type="page"/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Supplementary Figure S9: </w:t>
      </w:r>
      <w:r>
        <w:rPr>
          <w:rFonts w:cs="Arial" w:ascii="Arial" w:hAnsi="Arial"/>
          <w:b w:val="false"/>
          <w:bCs w:val="false"/>
          <w:sz w:val="20"/>
          <w:szCs w:val="20"/>
        </w:rPr>
        <w:t xml:space="preserve">Average Nucleotide Identity (ANI) and shared genome fraction (%) comparison among the 100 isolate genomes of </w:t>
      </w:r>
      <w:r>
        <w:rPr>
          <w:rFonts w:cs="Arial" w:ascii="Arial" w:hAnsi="Arial"/>
          <w:b w:val="false"/>
          <w:bCs w:val="false"/>
          <w:i/>
          <w:iCs/>
          <w:sz w:val="20"/>
          <w:szCs w:val="20"/>
        </w:rPr>
        <w:t>Salinibacter ruber</w:t>
      </w:r>
      <w:r>
        <w:rPr>
          <w:rFonts w:cs="Arial" w:ascii="Arial" w:hAnsi="Arial"/>
          <w:b w:val="false"/>
          <w:bCs w:val="false"/>
          <w:sz w:val="20"/>
          <w:szCs w:val="20"/>
        </w:rPr>
        <w:t>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/>
        <w:drawing>
          <wp:inline distT="0" distB="0" distL="0" distR="0">
            <wp:extent cx="6332220" cy="4479290"/>
            <wp:effectExtent l="0" t="0" r="0" b="0"/>
            <wp:docPr id="9" name="Image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18" descr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447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  <w:r>
        <w:br w:type="page"/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>Supplementary Figure S10:</w:t>
      </w:r>
      <w:r>
        <w:rPr>
          <w:rFonts w:cs="Arial" w:ascii="Arial" w:hAnsi="Arial"/>
          <w:sz w:val="20"/>
          <w:szCs w:val="20"/>
        </w:rPr>
        <w:t xml:space="preserve"> Estimation of nucleotide diversity (π) values at increasing sequencing depth and isolate diversity on the 32 distinct </w:t>
      </w:r>
      <w:r>
        <w:rPr>
          <w:rFonts w:cs="Arial" w:ascii="Arial" w:hAnsi="Arial"/>
          <w:i/>
          <w:iCs/>
          <w:sz w:val="20"/>
          <w:szCs w:val="20"/>
        </w:rPr>
        <w:t>in silico</w:t>
      </w:r>
      <w:r>
        <w:rPr>
          <w:rFonts w:cs="Arial" w:ascii="Arial" w:hAnsi="Arial"/>
          <w:sz w:val="20"/>
          <w:szCs w:val="20"/>
        </w:rPr>
        <w:t xml:space="preserve"> metagenomes with variable sequencing error profiles.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/>
        <w:drawing>
          <wp:inline distT="0" distB="0" distL="0" distR="0">
            <wp:extent cx="6332220" cy="4479290"/>
            <wp:effectExtent l="0" t="0" r="0" b="0"/>
            <wp:docPr id="10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447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>Supplementary Figure S11:</w:t>
      </w:r>
      <w:r>
        <w:rPr>
          <w:rFonts w:cs="Arial" w:ascii="Arial" w:hAnsi="Arial"/>
          <w:sz w:val="20"/>
          <w:szCs w:val="20"/>
        </w:rPr>
        <w:t xml:space="preserve"> Estimation of ANIr values at increasing sequencing depth and isolate diversity on the 32 distinct </w:t>
      </w:r>
      <w:r>
        <w:rPr>
          <w:rFonts w:cs="Arial" w:ascii="Arial" w:hAnsi="Arial"/>
          <w:i/>
          <w:iCs/>
          <w:sz w:val="20"/>
          <w:szCs w:val="20"/>
        </w:rPr>
        <w:t>in silico</w:t>
      </w:r>
      <w:r>
        <w:rPr>
          <w:rFonts w:cs="Arial" w:ascii="Arial" w:hAnsi="Arial"/>
          <w:sz w:val="20"/>
          <w:szCs w:val="20"/>
        </w:rPr>
        <w:t xml:space="preserve"> metagenomes with variable sequencing error profiles.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/>
        <w:drawing>
          <wp:inline distT="0" distB="0" distL="0" distR="0">
            <wp:extent cx="6332220" cy="4479290"/>
            <wp:effectExtent l="0" t="0" r="0" b="0"/>
            <wp:docPr id="11" name="Ima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2" descr="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447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>Supplementary Figure S12:</w:t>
      </w:r>
      <w:r>
        <w:rPr>
          <w:rFonts w:cs="Arial" w:ascii="Arial" w:hAnsi="Arial"/>
          <w:sz w:val="20"/>
          <w:szCs w:val="20"/>
        </w:rPr>
        <w:t xml:space="preserve"> Estimation of the effect of increasing sequencing depth on the accuracy of nucleotide diversity (π) across </w:t>
      </w:r>
      <w:r>
        <w:rPr>
          <w:rFonts w:cs="Arial" w:ascii="Arial" w:hAnsi="Arial"/>
          <w:i/>
          <w:iCs/>
          <w:sz w:val="20"/>
          <w:szCs w:val="20"/>
        </w:rPr>
        <w:t>in silico</w:t>
      </w:r>
      <w:r>
        <w:rPr>
          <w:rFonts w:cs="Arial" w:ascii="Arial" w:hAnsi="Arial"/>
          <w:sz w:val="20"/>
          <w:szCs w:val="20"/>
        </w:rPr>
        <w:t xml:space="preserve"> metagenomes with distinct proportions of isolate genomes and sequencing error profiles. The diversity ratio represents the estimated π at each subsample of a metagenome divided by π estimated at the whole-metagenome, with ratio = 1 meaning that π in the subsample is equal to π in the whole-metagenome. Note that we showed the trends up to 400X to better show the effects of sequencing depth on nucleotide diversity (π) estimates. Lines indicate a sequencing depth of 50X and 200X.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/>
        <w:drawing>
          <wp:inline distT="0" distB="0" distL="0" distR="0">
            <wp:extent cx="6332220" cy="4479290"/>
            <wp:effectExtent l="0" t="0" r="0" b="0"/>
            <wp:docPr id="12" name="Imag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" descr="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447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  <w:r>
        <w:br w:type="page"/>
      </w:r>
    </w:p>
    <w:p>
      <w:pPr>
        <w:pStyle w:val="Normal"/>
        <w:spacing w:lineRule="auto" w:line="276"/>
        <w:jc w:val="both"/>
        <w:rPr/>
      </w:pPr>
      <w:r>
        <w:rPr>
          <w:rFonts w:cs="Arial" w:ascii="Arial" w:hAnsi="Arial"/>
          <w:b/>
          <w:bCs/>
          <w:sz w:val="20"/>
          <w:szCs w:val="20"/>
        </w:rPr>
        <w:t>Supplementary Figure S13:</w:t>
      </w:r>
      <w:r>
        <w:rPr>
          <w:rFonts w:cs="Arial" w:ascii="Arial" w:hAnsi="Arial"/>
          <w:sz w:val="20"/>
          <w:szCs w:val="20"/>
        </w:rPr>
        <w:t xml:space="preserve"> Estimation of the effect of increasing sequencing depth on the accuracy of ANIr across </w:t>
      </w:r>
      <w:r>
        <w:rPr>
          <w:rFonts w:cs="Arial" w:ascii="Arial" w:hAnsi="Arial"/>
          <w:i/>
          <w:iCs/>
          <w:sz w:val="20"/>
          <w:szCs w:val="20"/>
        </w:rPr>
        <w:t>in silico</w:t>
      </w:r>
      <w:r>
        <w:rPr>
          <w:rFonts w:cs="Arial" w:ascii="Arial" w:hAnsi="Arial"/>
          <w:sz w:val="20"/>
          <w:szCs w:val="20"/>
        </w:rPr>
        <w:t xml:space="preserve"> metagenomes with distinct proportions of isolate genomes and sequencing error profiles. The diversity ratio represents the estimated ANIr at each subsample of a metagenome divided by ANIr estimated at the whole-metagenome, with ratio = 1 meaning that ANIr in the subsample is equal to ANIr in the whole-metagenome. Note that we showed the trends up to 400X to better show the effects of sequencing depth on ANIr estimates. Lines indicate a sequencing depth of 50X and 200X.</w:t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/>
      </w:pPr>
      <w:r>
        <w:rPr/>
        <w:drawing>
          <wp:inline distT="0" distB="0" distL="0" distR="0">
            <wp:extent cx="6332220" cy="4479290"/>
            <wp:effectExtent l="0" t="0" r="0" b="0"/>
            <wp:docPr id="13" name="Image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4" descr="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447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76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widowControl/>
        <w:suppressAutoHyphens w:val="true"/>
        <w:bidi w:val="0"/>
        <w:spacing w:lineRule="auto" w:line="276" w:before="0" w:after="0"/>
        <w:jc w:val="both"/>
        <w:rPr>
          <w:rFonts w:ascii="Arial" w:hAnsi="Arial" w:cs="Arial"/>
          <w:sz w:val="20"/>
          <w:szCs w:val="20"/>
        </w:rPr>
      </w:pPr>
      <w:r>
        <w:rPr/>
      </w:r>
    </w:p>
    <w:sectPr>
      <w:type w:val="nextPage"/>
      <w:pgSz w:w="12240" w:h="15840"/>
      <w:pgMar w:left="1134" w:right="1134" w:gutter="0" w:header="0" w:top="1134" w:footer="0" w:bottom="1134"/>
      <w:pgNumType w:start="1"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revisionView w:insDel="0" w:formatting="0"/>
  <w:defaultTabStop w:val="709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hyphenationZone w:val="425"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kern w:val="2"/>
        <w:sz w:val="24"/>
        <w:szCs w:val="24"/>
        <w:lang w:val="en-US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en-US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Annotationtext"/>
    <w:qFormat/>
    <w:rPr>
      <w:rFonts w:cs="Mangal"/>
      <w:sz w:val="20"/>
      <w:szCs w:val="18"/>
    </w:rPr>
  </w:style>
  <w:style w:type="character" w:styleId="AsuntodelcomentarioCar" w:customStyle="1">
    <w:name w:val="Asunto del comentario Car"/>
    <w:basedOn w:val="TextocomentarioCar"/>
    <w:link w:val="Annotationsubject"/>
    <w:qFormat/>
    <w:rPr>
      <w:rFonts w:cs="Mangal"/>
      <w:b/>
      <w:bCs/>
      <w:sz w:val="20"/>
      <w:szCs w:val="18"/>
    </w:rPr>
  </w:style>
  <w:style w:type="character" w:styleId="LineNumbering" w:customStyle="1">
    <w:name w:val="Line Numbering"/>
    <w:rPr/>
  </w:style>
  <w:style w:type="character" w:styleId="InternetLink">
    <w:name w:val="Hyperlink"/>
    <w:rPr>
      <w:color w:val="000080"/>
      <w:u w:val="single"/>
    </w:rPr>
  </w:style>
  <w:style w:type="character" w:styleId="VisitedInternetLink">
    <w:name w:val="FollowedHyperlink"/>
    <w:basedOn w:val="DefaultParagraphFont"/>
    <w:rPr>
      <w:color w:val="954F72" w:themeColor="followedHyperlink"/>
      <w:u w:val="single"/>
    </w:rPr>
  </w:style>
  <w:style w:type="character" w:styleId="NumberingSymbols">
    <w:name w:val="Numbering Symbols"/>
    <w:qFormat/>
    <w:rPr/>
  </w:style>
  <w:style w:type="paragraph" w:styleId="Heading" w:customStyle="1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/>
  </w:style>
  <w:style w:type="paragraph" w:styleId="Caption1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Revision">
    <w:name w:val="Revision"/>
    <w:qFormat/>
    <w:pPr>
      <w:widowControl/>
      <w:suppressAutoHyphens w:val="false"/>
      <w:bidi w:val="0"/>
      <w:spacing w:before="0" w:after="0"/>
      <w:jc w:val="left"/>
    </w:pPr>
    <w:rPr>
      <w:rFonts w:ascii="Liberation Serif" w:hAnsi="Liberation Serif" w:eastAsia="Noto Serif CJK SC" w:cs="Mangal"/>
      <w:color w:val="auto"/>
      <w:kern w:val="2"/>
      <w:sz w:val="24"/>
      <w:szCs w:val="21"/>
      <w:lang w:val="en-US" w:eastAsia="zh-CN" w:bidi="hi-IN"/>
    </w:rPr>
  </w:style>
  <w:style w:type="paragraph" w:styleId="Annotationtext">
    <w:name w:val="annotation text"/>
    <w:basedOn w:val="Normal"/>
    <w:link w:val="TextocomentarioCar"/>
    <w:qFormat/>
    <w:pPr/>
    <w:rPr>
      <w:rFonts w:cs="Mangal"/>
      <w:sz w:val="20"/>
      <w:szCs w:val="18"/>
    </w:rPr>
  </w:style>
  <w:style w:type="paragraph" w:styleId="Annotationsubject">
    <w:name w:val="annotation subject"/>
    <w:basedOn w:val="Annotationtext"/>
    <w:next w:val="Annotationtext"/>
    <w:link w:val="AsuntodelcomentarioCar"/>
    <w:qFormat/>
    <w:pPr/>
    <w:rPr>
      <w:b/>
      <w:bCs/>
    </w:rPr>
  </w:style>
  <w:style w:type="paragraph" w:styleId="TableContents" w:customStyle="1">
    <w:name w:val="Table Contents"/>
    <w:basedOn w:val="Normal"/>
    <w:qFormat/>
    <w:pPr>
      <w:widowControl w:val="false"/>
      <w:suppressLineNumbers/>
    </w:pPr>
    <w:rPr/>
  </w:style>
  <w:style w:type="paragraph" w:styleId="TableHeading" w:customStyle="1">
    <w:name w:val="Table Heading"/>
    <w:basedOn w:val="TableContents"/>
    <w:qFormat/>
    <w:pPr>
      <w:jc w:val="center"/>
    </w:pPr>
    <w:rPr>
      <w:b/>
      <w:bCs/>
    </w:rPr>
  </w:style>
  <w:style w:type="paragraph" w:styleId="LOnormal">
    <w:name w:val="LO-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en-US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ebustos@imedea.uib-csic.es" TargetMode="External"/><Relationship Id="rId3" Type="http://schemas.openxmlformats.org/officeDocument/2006/relationships/hyperlink" Target="mailto:lmrodriguezr@gmail.com" TargetMode="Externa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png"/><Relationship Id="rId7" Type="http://schemas.openxmlformats.org/officeDocument/2006/relationships/image" Target="media/image4.png"/><Relationship Id="rId8" Type="http://schemas.openxmlformats.org/officeDocument/2006/relationships/image" Target="media/image5.png"/><Relationship Id="rId9" Type="http://schemas.openxmlformats.org/officeDocument/2006/relationships/image" Target="media/image6.png"/><Relationship Id="rId10" Type="http://schemas.openxmlformats.org/officeDocument/2006/relationships/image" Target="media/image7.png"/><Relationship Id="rId11" Type="http://schemas.openxmlformats.org/officeDocument/2006/relationships/image" Target="media/image8.png"/><Relationship Id="rId12" Type="http://schemas.openxmlformats.org/officeDocument/2006/relationships/image" Target="media/image9.png"/><Relationship Id="rId13" Type="http://schemas.openxmlformats.org/officeDocument/2006/relationships/image" Target="media/image10.png"/><Relationship Id="rId14" Type="http://schemas.openxmlformats.org/officeDocument/2006/relationships/image" Target="media/image11.png"/><Relationship Id="rId15" Type="http://schemas.openxmlformats.org/officeDocument/2006/relationships/image" Target="media/image12.png"/><Relationship Id="rId16" Type="http://schemas.openxmlformats.org/officeDocument/2006/relationships/image" Target="media/image13.png"/><Relationship Id="rId17" Type="http://schemas.openxmlformats.org/officeDocument/2006/relationships/fontTable" Target="fontTable.xml"/><Relationship Id="rId18" Type="http://schemas.openxmlformats.org/officeDocument/2006/relationships/settings" Target="settings.xml"/><Relationship Id="rId1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1015</TotalTime>
  <Application>LibreOffice/7.3.7.2$Linux_X86_64 LibreOffice_project/30$Build-2</Application>
  <AppVersion>15.0000</AppVersion>
  <Pages>14</Pages>
  <Words>916</Words>
  <Characters>5716</Characters>
  <CharactersWithSpaces>6613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2024-05-15T15:48:00Z</dcterms:created>
  <dc:creator>Ramon Rossello Mora</dc:creator>
  <dc:description/>
  <dc:language>en-US</dc:language>
  <cp:lastModifiedBy>Esteban Bustos</cp:lastModifiedBy>
  <dcterms:modified xsi:type="dcterms:W3CDTF">2025-11-25T12:26:43Z</dcterms:modified>
  <cp:revision>106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