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5FC8A4" w14:textId="60432A16" w:rsidR="008C5EAB" w:rsidRDefault="008C5EAB" w:rsidP="008C5EAB">
      <w:pPr>
        <w:pStyle w:val="SupplementaryMaterial"/>
        <w:rPr>
          <w:bCs/>
        </w:rPr>
      </w:pPr>
      <w:bookmarkStart w:id="0" w:name="_GoBack"/>
      <w:bookmarkEnd w:id="0"/>
      <w:r w:rsidRPr="008C5EAB">
        <w:rPr>
          <w:bCs/>
        </w:rPr>
        <w:t>Supplementary File 1 (S1): Theoretical frameworks for risk stratification of CAD among PLWH</w:t>
      </w:r>
    </w:p>
    <w:p w14:paraId="67D450B0" w14:textId="77777777" w:rsidR="008C5EAB" w:rsidRPr="008C5EAB" w:rsidRDefault="008C5EAB" w:rsidP="008C5EAB">
      <w:r w:rsidRPr="008C5EAB">
        <w:t>This appendix elaborates on the theoretical frameworks underpinning the review’s methodology for analyzing coronary artery disease (CAD) risk factors in people living with HIV (PLWH). Four models informed the conceptual approach (S1 Figure 1), each contributing strengths for stratifying multifactorial and context-dependent risk relationships.</w:t>
      </w:r>
    </w:p>
    <w:p w14:paraId="69A460AA" w14:textId="1B1BCA7E" w:rsidR="008C5EAB" w:rsidRDefault="008C5EAB" w:rsidP="008C5EAB">
      <w:pPr>
        <w:pStyle w:val="Heading1"/>
        <w:rPr>
          <w:bCs/>
        </w:rPr>
      </w:pPr>
      <w:r w:rsidRPr="008C5EAB">
        <w:rPr>
          <w:bCs/>
        </w:rPr>
        <w:t>Principle 1: Broad-spectrum sampling of risk factors</w:t>
      </w:r>
    </w:p>
    <w:p w14:paraId="14340138" w14:textId="395C3B7C" w:rsidR="008C5EAB" w:rsidRPr="008C5EAB" w:rsidRDefault="008C5EAB" w:rsidP="008C5EAB">
      <w:r w:rsidRPr="00B46B28">
        <w:t xml:space="preserve">This study </w:t>
      </w:r>
      <w:r>
        <w:t xml:space="preserve">comprehensively </w:t>
      </w:r>
      <w:r w:rsidRPr="00B46B28">
        <w:t>samp</w:t>
      </w:r>
      <w:r>
        <w:t xml:space="preserve">led </w:t>
      </w:r>
      <w:r w:rsidRPr="00B46B28">
        <w:t xml:space="preserve">all risk factors of HIV-related stroke, irrespective of time, setting, </w:t>
      </w:r>
      <w:r>
        <w:t>or</w:t>
      </w:r>
      <w:r w:rsidRPr="00B46B28">
        <w:t xml:space="preserve"> age. </w:t>
      </w:r>
      <w:r>
        <w:t>S</w:t>
      </w:r>
      <w:r w:rsidRPr="00B46B28">
        <w:t>ix major databases</w:t>
      </w:r>
      <w:r>
        <w:t xml:space="preserve"> were searched to ensure that all potential </w:t>
      </w:r>
      <w:r w:rsidRPr="00B46B28">
        <w:t>risk factor</w:t>
      </w:r>
      <w:r>
        <w:t xml:space="preserve">s </w:t>
      </w:r>
      <w:r w:rsidRPr="00B46B28">
        <w:t>of HIV-related stroke</w:t>
      </w:r>
      <w:r>
        <w:t xml:space="preserve"> were included</w:t>
      </w:r>
      <w:r w:rsidRPr="00B46B28">
        <w:t xml:space="preserve">. </w:t>
      </w:r>
      <w:r>
        <w:t>T</w:t>
      </w:r>
      <w:r w:rsidRPr="00B46B28">
        <w:t>he epidemiological triangle [1]</w:t>
      </w:r>
      <w:r>
        <w:t xml:space="preserve"> guided this process allowing for the identification of HIV-specific (e.g., </w:t>
      </w:r>
      <w:r w:rsidRPr="00B46B28">
        <w:t>(cluster of differentiation-4 (CD4) count, viral load, use of antiretroviral therapy</w:t>
      </w:r>
      <w:r>
        <w:t xml:space="preserve"> [ART]</w:t>
      </w:r>
      <w:r w:rsidRPr="00B46B28">
        <w:t>), cardiovascular</w:t>
      </w:r>
      <w:r>
        <w:t xml:space="preserve"> </w:t>
      </w:r>
      <w:r w:rsidRPr="00B46B28">
        <w:t xml:space="preserve">(hypertension, diabetes, smoking, dyslipidemia, obesity etc.), intrinsic (age, sex, education), </w:t>
      </w:r>
      <w:r>
        <w:t>and</w:t>
      </w:r>
      <w:r w:rsidRPr="00B46B28">
        <w:t xml:space="preserve"> extrinsic (income, employment status, access to healthcare)</w:t>
      </w:r>
      <w:r>
        <w:t xml:space="preserve"> variables</w:t>
      </w:r>
      <w:r w:rsidRPr="00B46B28">
        <w:t xml:space="preserve">. This framework </w:t>
      </w:r>
      <w:r>
        <w:t xml:space="preserve">allows for the </w:t>
      </w:r>
      <w:r w:rsidRPr="00B46B28">
        <w:t xml:space="preserve">structured categorization of exposures but does </w:t>
      </w:r>
      <w:r w:rsidRPr="00B46B28">
        <w:rPr>
          <w:bCs/>
        </w:rPr>
        <w:t>not</w:t>
      </w:r>
      <w:r w:rsidRPr="00B46B28">
        <w:t xml:space="preserve"> assess causality</w:t>
      </w:r>
      <w:r>
        <w:t>. A</w:t>
      </w:r>
      <w:r w:rsidRPr="00B46B28">
        <w:t>dditional models</w:t>
      </w:r>
      <w:r>
        <w:t xml:space="preserve"> are needed</w:t>
      </w:r>
      <w:r w:rsidRPr="00B46B28">
        <w:t xml:space="preserve"> for deeper analysis.</w:t>
      </w:r>
    </w:p>
    <w:p w14:paraId="50746D98" w14:textId="7E239376" w:rsidR="008C5EAB" w:rsidRDefault="008C5EAB" w:rsidP="008C5EAB">
      <w:pPr>
        <w:pStyle w:val="Heading1"/>
      </w:pPr>
      <w:r w:rsidRPr="00B46B28">
        <w:t xml:space="preserve">Principle 2: </w:t>
      </w:r>
      <w:r>
        <w:t>N</w:t>
      </w:r>
      <w:r w:rsidRPr="00B46B28">
        <w:t>on-communicable disease</w:t>
      </w:r>
      <w:r>
        <w:t>s</w:t>
      </w:r>
      <w:r w:rsidRPr="00B46B28">
        <w:t xml:space="preserve"> (NCD</w:t>
      </w:r>
      <w:r>
        <w:t>s</w:t>
      </w:r>
      <w:r w:rsidRPr="00B46B28">
        <w:t xml:space="preserve">) </w:t>
      </w:r>
      <w:r>
        <w:t xml:space="preserve">result from multiple interacting causes </w:t>
      </w:r>
    </w:p>
    <w:p w14:paraId="2F5BE6D3" w14:textId="2268AC2F" w:rsidR="008C5EAB" w:rsidRDefault="008C5EAB" w:rsidP="008C5EAB">
      <w:pPr>
        <w:pStyle w:val="Heading1"/>
        <w:numPr>
          <w:ilvl w:val="0"/>
          <w:numId w:val="0"/>
        </w:numPr>
        <w:rPr>
          <w:rFonts w:eastAsiaTheme="minorHAnsi" w:cstheme="minorBidi"/>
          <w:b w:val="0"/>
          <w:szCs w:val="22"/>
        </w:rPr>
      </w:pPr>
      <w:r w:rsidRPr="008C5EAB">
        <w:rPr>
          <w:rFonts w:eastAsiaTheme="minorHAnsi" w:cstheme="minorBidi"/>
          <w:b w:val="0"/>
          <w:szCs w:val="22"/>
        </w:rPr>
        <w:t>The epidemiological triangle recognizes disease as an outcome of agent-host-environment interactions, but cannot quantify each factor’s contribution in polygenic NCDs. For effective prevention, contributing factors must be prioritized by clinical and public health relevance. This review applies Bradford Hill's criteria [</w:t>
      </w:r>
      <w:r w:rsidR="00E5711B">
        <w:rPr>
          <w:rFonts w:eastAsiaTheme="minorHAnsi" w:cstheme="minorBidi"/>
          <w:b w:val="0"/>
          <w:szCs w:val="22"/>
        </w:rPr>
        <w:t>2</w:t>
      </w:r>
      <w:r w:rsidRPr="008C5EAB">
        <w:rPr>
          <w:rFonts w:eastAsiaTheme="minorHAnsi" w:cstheme="minorBidi"/>
          <w:b w:val="0"/>
          <w:szCs w:val="22"/>
        </w:rPr>
        <w:t>], Rothman’s causal pie [</w:t>
      </w:r>
      <w:r w:rsidR="00E5711B">
        <w:rPr>
          <w:rFonts w:eastAsiaTheme="minorHAnsi" w:cstheme="minorBidi"/>
          <w:b w:val="0"/>
          <w:szCs w:val="22"/>
        </w:rPr>
        <w:t>3</w:t>
      </w:r>
      <w:r w:rsidRPr="008C5EAB">
        <w:rPr>
          <w:rFonts w:eastAsiaTheme="minorHAnsi" w:cstheme="minorBidi"/>
          <w:b w:val="0"/>
          <w:szCs w:val="22"/>
        </w:rPr>
        <w:t>], and Nweke’s hypotheses [</w:t>
      </w:r>
      <w:r w:rsidR="00E5711B">
        <w:rPr>
          <w:rFonts w:eastAsiaTheme="minorHAnsi" w:cstheme="minorBidi"/>
          <w:b w:val="0"/>
          <w:szCs w:val="22"/>
        </w:rPr>
        <w:t>4</w:t>
      </w:r>
      <w:r w:rsidRPr="008C5EAB">
        <w:rPr>
          <w:rFonts w:eastAsiaTheme="minorHAnsi" w:cstheme="minorBidi"/>
          <w:b w:val="0"/>
          <w:szCs w:val="22"/>
        </w:rPr>
        <w:t>] to infer causality</w:t>
      </w:r>
      <w:r w:rsidR="00E5711B">
        <w:rPr>
          <w:rFonts w:eastAsiaTheme="minorHAnsi" w:cstheme="minorBidi"/>
          <w:b w:val="0"/>
          <w:szCs w:val="22"/>
        </w:rPr>
        <w:t xml:space="preserve"> and stratify causative (risk) factors</w:t>
      </w:r>
      <w:r w:rsidRPr="008C5EAB">
        <w:rPr>
          <w:rFonts w:eastAsiaTheme="minorHAnsi" w:cstheme="minorBidi"/>
          <w:b w:val="0"/>
          <w:szCs w:val="22"/>
        </w:rPr>
        <w:t>. While the strength of association is commonly used to stratify risk factors, it is insufficient alone [</w:t>
      </w:r>
      <w:r w:rsidR="00E5711B">
        <w:rPr>
          <w:rFonts w:eastAsiaTheme="minorHAnsi" w:cstheme="minorBidi"/>
          <w:b w:val="0"/>
          <w:szCs w:val="22"/>
        </w:rPr>
        <w:t>2</w:t>
      </w:r>
      <w:r w:rsidRPr="008C5EAB">
        <w:rPr>
          <w:rFonts w:eastAsiaTheme="minorHAnsi" w:cstheme="minorBidi"/>
          <w:b w:val="0"/>
          <w:szCs w:val="22"/>
        </w:rPr>
        <w:t xml:space="preserve">]. Given the absence of robust quantitative models for estimating dimensions such as temporality, consistency, biological gradients, and specificity, this review incorporates emerging conceptual frameworks to address these limitations. </w:t>
      </w:r>
    </w:p>
    <w:p w14:paraId="776A268C" w14:textId="381C8FE4" w:rsidR="008C5EAB" w:rsidRPr="008C5EAB" w:rsidRDefault="008C5EAB" w:rsidP="008C5EAB">
      <w:pPr>
        <w:pStyle w:val="Heading1"/>
      </w:pPr>
      <w:r w:rsidRPr="008C5EAB">
        <w:t xml:space="preserve">Principle 3: Objective application of causal frameworks </w:t>
      </w:r>
    </w:p>
    <w:p w14:paraId="3E55CDDC" w14:textId="7C5F3CC7" w:rsidR="008C5EAB" w:rsidRPr="008C5EAB" w:rsidRDefault="008C5EAB" w:rsidP="008C5EAB">
      <w:pPr>
        <w:jc w:val="both"/>
        <w:rPr>
          <w:rFonts w:cs="Times New Roman"/>
          <w:szCs w:val="24"/>
        </w:rPr>
      </w:pPr>
      <w:r w:rsidRPr="008C5EAB">
        <w:rPr>
          <w:rFonts w:cs="Times New Roman"/>
          <w:szCs w:val="24"/>
        </w:rPr>
        <w:t>Hill's and Rothman's models are applied with methodological support from emerging hypotheses [</w:t>
      </w:r>
      <w:r w:rsidR="00E5711B">
        <w:rPr>
          <w:rFonts w:cs="Times New Roman"/>
          <w:bCs/>
          <w:szCs w:val="24"/>
        </w:rPr>
        <w:t>5</w:t>
      </w:r>
      <w:r w:rsidRPr="008C5EAB">
        <w:rPr>
          <w:rFonts w:cs="Times New Roman"/>
          <w:bCs/>
          <w:szCs w:val="24"/>
        </w:rPr>
        <w:t>-</w:t>
      </w:r>
      <w:r w:rsidR="00E5711B">
        <w:rPr>
          <w:rFonts w:cs="Times New Roman"/>
          <w:bCs/>
          <w:szCs w:val="24"/>
        </w:rPr>
        <w:t>8, 9</w:t>
      </w:r>
      <w:r w:rsidRPr="008C5EAB">
        <w:rPr>
          <w:rFonts w:cs="Times New Roman"/>
          <w:szCs w:val="24"/>
        </w:rPr>
        <w:t>], which challenge the adequacy of statistical significance (magnitude of association) alone for attributing causality. These hypotheses introduce the cumulative risk index and emphasize specificity in exposure-outcome associations. Nweke and colleagues extended these frameworks to develop a causality estimation model [</w:t>
      </w:r>
      <w:r w:rsidR="00E5711B">
        <w:rPr>
          <w:rFonts w:cs="Times New Roman"/>
          <w:szCs w:val="24"/>
        </w:rPr>
        <w:t>6</w:t>
      </w:r>
      <w:r w:rsidRPr="008C5EAB">
        <w:rPr>
          <w:rFonts w:cs="Times New Roman"/>
          <w:szCs w:val="24"/>
        </w:rPr>
        <w:t>], integrating Bradford Hill’s and Rothman’s principles to assess complex exposure-outcome relationships.</w:t>
      </w:r>
    </w:p>
    <w:p w14:paraId="012D9350" w14:textId="77777777" w:rsidR="008C5EAB" w:rsidRPr="008C5EAB" w:rsidRDefault="008C5EAB" w:rsidP="008C5EAB">
      <w:pPr>
        <w:pStyle w:val="Heading1"/>
      </w:pPr>
      <w:r w:rsidRPr="008C5EAB">
        <w:t>Theoretical models</w:t>
      </w:r>
    </w:p>
    <w:p w14:paraId="4C791FEE" w14:textId="18C4B97A" w:rsidR="008C5EAB" w:rsidRPr="008C5EAB" w:rsidRDefault="008C5EAB" w:rsidP="008C5EAB">
      <w:pPr>
        <w:pStyle w:val="Heading2"/>
      </w:pPr>
      <w:r w:rsidRPr="008C5EAB">
        <w:t>Epidemiological triangle</w:t>
      </w:r>
    </w:p>
    <w:p w14:paraId="5DCACC52" w14:textId="48FC9951" w:rsidR="008C5EAB" w:rsidRPr="008C5EAB" w:rsidRDefault="008C5EAB" w:rsidP="008C5EAB">
      <w:pPr>
        <w:jc w:val="both"/>
        <w:rPr>
          <w:rFonts w:cs="Times New Roman"/>
          <w:szCs w:val="24"/>
        </w:rPr>
      </w:pPr>
      <w:r w:rsidRPr="008C5EAB">
        <w:rPr>
          <w:rFonts w:cs="Times New Roman"/>
          <w:szCs w:val="24"/>
        </w:rPr>
        <w:t xml:space="preserve">Conceptualizes disease, CAD, as an outcome of interactions between: </w:t>
      </w:r>
    </w:p>
    <w:p w14:paraId="480D4972" w14:textId="28EF8E73" w:rsidR="008C5EAB" w:rsidRPr="008C5EAB" w:rsidRDefault="008C5EAB" w:rsidP="008C5EAB">
      <w:pPr>
        <w:numPr>
          <w:ilvl w:val="0"/>
          <w:numId w:val="20"/>
        </w:numPr>
        <w:jc w:val="both"/>
        <w:rPr>
          <w:rFonts w:cs="Times New Roman"/>
          <w:szCs w:val="24"/>
        </w:rPr>
      </w:pPr>
      <w:r w:rsidRPr="008C5EAB">
        <w:rPr>
          <w:rFonts w:cs="Times New Roman"/>
          <w:i/>
          <w:iCs/>
          <w:szCs w:val="24"/>
        </w:rPr>
        <w:t>Agent</w:t>
      </w:r>
      <w:r w:rsidRPr="008C5EAB">
        <w:rPr>
          <w:rFonts w:cs="Times New Roman"/>
          <w:szCs w:val="24"/>
        </w:rPr>
        <w:t>: HIV and ART, particularly their inflammatory and metabolic effects.</w:t>
      </w:r>
    </w:p>
    <w:p w14:paraId="40C76438" w14:textId="18B5A2CE" w:rsidR="008C5EAB" w:rsidRPr="008C5EAB" w:rsidRDefault="008C5EAB" w:rsidP="008C5EAB">
      <w:pPr>
        <w:numPr>
          <w:ilvl w:val="0"/>
          <w:numId w:val="20"/>
        </w:numPr>
        <w:jc w:val="both"/>
        <w:rPr>
          <w:rFonts w:cs="Times New Roman"/>
          <w:szCs w:val="24"/>
        </w:rPr>
      </w:pPr>
      <w:r w:rsidRPr="008C5EAB">
        <w:rPr>
          <w:rFonts w:cs="Times New Roman"/>
          <w:i/>
          <w:iCs/>
          <w:szCs w:val="24"/>
        </w:rPr>
        <w:lastRenderedPageBreak/>
        <w:t>Host</w:t>
      </w:r>
      <w:r w:rsidRPr="008C5EAB">
        <w:rPr>
          <w:rFonts w:cs="Times New Roman"/>
          <w:szCs w:val="24"/>
        </w:rPr>
        <w:t>: Intrinsic characteristics such as age, genetics, immune status, and comorbidities such as hypertension or diabetes.</w:t>
      </w:r>
    </w:p>
    <w:p w14:paraId="3C5C8EF6" w14:textId="525E41BD" w:rsidR="008C5EAB" w:rsidRPr="008C5EAB" w:rsidRDefault="008C5EAB" w:rsidP="008C5EAB">
      <w:pPr>
        <w:numPr>
          <w:ilvl w:val="0"/>
          <w:numId w:val="20"/>
        </w:numPr>
        <w:jc w:val="both"/>
        <w:rPr>
          <w:rFonts w:cs="Times New Roman"/>
          <w:szCs w:val="24"/>
        </w:rPr>
      </w:pPr>
      <w:r w:rsidRPr="008C5EAB">
        <w:rPr>
          <w:rFonts w:cs="Times New Roman"/>
          <w:i/>
          <w:iCs/>
          <w:szCs w:val="24"/>
        </w:rPr>
        <w:t>Environment</w:t>
      </w:r>
      <w:r w:rsidRPr="008C5EAB">
        <w:rPr>
          <w:rFonts w:cs="Times New Roman"/>
          <w:szCs w:val="24"/>
        </w:rPr>
        <w:t>: Social determinants of health, healthcare access, geographic location, and lifestyle behaviors.</w:t>
      </w:r>
    </w:p>
    <w:p w14:paraId="791C55CC" w14:textId="5D0E9BFB" w:rsidR="008C5EAB" w:rsidRPr="008C5EAB" w:rsidRDefault="008C5EAB" w:rsidP="008C5EAB">
      <w:pPr>
        <w:pStyle w:val="Heading2"/>
      </w:pPr>
      <w:r w:rsidRPr="008C5EAB">
        <w:t>Bradford Hill’s criteria for causality</w:t>
      </w:r>
    </w:p>
    <w:p w14:paraId="4F146334" w14:textId="5F9DF0B9" w:rsidR="008C5EAB" w:rsidRPr="008C5EAB" w:rsidRDefault="008C5EAB" w:rsidP="008C5EAB">
      <w:pPr>
        <w:jc w:val="both"/>
        <w:rPr>
          <w:rFonts w:cs="Times New Roman"/>
          <w:szCs w:val="24"/>
        </w:rPr>
      </w:pPr>
      <w:r w:rsidRPr="008C5EAB">
        <w:rPr>
          <w:rFonts w:cs="Times New Roman"/>
          <w:szCs w:val="24"/>
        </w:rPr>
        <w:t xml:space="preserve">A heuristic for evaluating causal associations using nine principles: strength, consistency, specificity, temporality, biological gradient, plausibility, coherence, experiment, and analogy. </w:t>
      </w:r>
    </w:p>
    <w:p w14:paraId="5C2E918A" w14:textId="77777777" w:rsidR="008C5EAB" w:rsidRPr="008C5EAB" w:rsidRDefault="008C5EAB" w:rsidP="008C5EAB">
      <w:pPr>
        <w:numPr>
          <w:ilvl w:val="0"/>
          <w:numId w:val="21"/>
        </w:numPr>
        <w:jc w:val="both"/>
        <w:rPr>
          <w:rFonts w:cs="Times New Roman"/>
          <w:szCs w:val="24"/>
        </w:rPr>
      </w:pPr>
      <w:r w:rsidRPr="008C5EAB">
        <w:rPr>
          <w:rFonts w:cs="Times New Roman"/>
          <w:i/>
          <w:iCs/>
          <w:szCs w:val="24"/>
        </w:rPr>
        <w:t>Strength</w:t>
      </w:r>
      <w:r w:rsidRPr="008C5EAB">
        <w:rPr>
          <w:rFonts w:cs="Times New Roman"/>
          <w:szCs w:val="24"/>
        </w:rPr>
        <w:t>: Larger associations are more likely to be causal.</w:t>
      </w:r>
    </w:p>
    <w:p w14:paraId="01923833" w14:textId="289723AB" w:rsidR="008C5EAB" w:rsidRPr="008C5EAB" w:rsidRDefault="008C5EAB" w:rsidP="008C5EAB">
      <w:pPr>
        <w:numPr>
          <w:ilvl w:val="0"/>
          <w:numId w:val="21"/>
        </w:numPr>
        <w:jc w:val="both"/>
        <w:rPr>
          <w:rFonts w:cs="Times New Roman"/>
          <w:szCs w:val="24"/>
        </w:rPr>
      </w:pPr>
      <w:r w:rsidRPr="008C5EAB">
        <w:rPr>
          <w:rFonts w:cs="Times New Roman"/>
          <w:i/>
          <w:iCs/>
          <w:szCs w:val="24"/>
        </w:rPr>
        <w:t>Consistency</w:t>
      </w:r>
      <w:r w:rsidRPr="008C5EAB">
        <w:rPr>
          <w:rFonts w:cs="Times New Roman"/>
          <w:szCs w:val="24"/>
        </w:rPr>
        <w:t>: Repeated observations in different settings</w:t>
      </w:r>
      <w:r w:rsidR="00123BC4">
        <w:rPr>
          <w:rFonts w:cs="Times New Roman"/>
          <w:szCs w:val="24"/>
        </w:rPr>
        <w:t xml:space="preserve"> and periods</w:t>
      </w:r>
      <w:r w:rsidRPr="008C5EAB">
        <w:rPr>
          <w:rFonts w:cs="Times New Roman"/>
          <w:szCs w:val="24"/>
        </w:rPr>
        <w:t>.</w:t>
      </w:r>
    </w:p>
    <w:p w14:paraId="6182A091" w14:textId="77777777" w:rsidR="008C5EAB" w:rsidRPr="008C5EAB" w:rsidRDefault="008C5EAB" w:rsidP="008C5EAB">
      <w:pPr>
        <w:numPr>
          <w:ilvl w:val="0"/>
          <w:numId w:val="21"/>
        </w:numPr>
        <w:jc w:val="both"/>
        <w:rPr>
          <w:rFonts w:cs="Times New Roman"/>
          <w:szCs w:val="24"/>
        </w:rPr>
      </w:pPr>
      <w:r w:rsidRPr="008C5EAB">
        <w:rPr>
          <w:rFonts w:cs="Times New Roman"/>
          <w:i/>
          <w:iCs/>
          <w:szCs w:val="24"/>
        </w:rPr>
        <w:t>Temporality</w:t>
      </w:r>
      <w:r w:rsidRPr="008C5EAB">
        <w:rPr>
          <w:rFonts w:cs="Times New Roman"/>
          <w:szCs w:val="24"/>
        </w:rPr>
        <w:t>: Cause precedes effect.</w:t>
      </w:r>
    </w:p>
    <w:p w14:paraId="6B56C2AD" w14:textId="77777777" w:rsidR="008C5EAB" w:rsidRPr="008C5EAB" w:rsidRDefault="008C5EAB" w:rsidP="008C5EAB">
      <w:pPr>
        <w:numPr>
          <w:ilvl w:val="0"/>
          <w:numId w:val="21"/>
        </w:numPr>
        <w:jc w:val="both"/>
        <w:rPr>
          <w:rFonts w:cs="Times New Roman"/>
          <w:szCs w:val="24"/>
        </w:rPr>
      </w:pPr>
      <w:r w:rsidRPr="008C5EAB">
        <w:rPr>
          <w:rFonts w:cs="Times New Roman"/>
          <w:i/>
          <w:iCs/>
          <w:szCs w:val="24"/>
        </w:rPr>
        <w:t>Biological gradient</w:t>
      </w:r>
      <w:r w:rsidRPr="008C5EAB">
        <w:rPr>
          <w:rFonts w:cs="Times New Roman"/>
          <w:szCs w:val="24"/>
        </w:rPr>
        <w:t>: Dose-response relationship.</w:t>
      </w:r>
    </w:p>
    <w:p w14:paraId="7A7750A5" w14:textId="2F28CE81" w:rsidR="008C5EAB" w:rsidRPr="008C5EAB" w:rsidRDefault="008C5EAB" w:rsidP="008C5EAB">
      <w:pPr>
        <w:numPr>
          <w:ilvl w:val="0"/>
          <w:numId w:val="21"/>
        </w:numPr>
        <w:jc w:val="both"/>
        <w:rPr>
          <w:rFonts w:cs="Times New Roman"/>
          <w:szCs w:val="24"/>
        </w:rPr>
      </w:pPr>
      <w:r w:rsidRPr="008C5EAB">
        <w:rPr>
          <w:rFonts w:cs="Times New Roman"/>
          <w:i/>
          <w:iCs/>
          <w:szCs w:val="24"/>
        </w:rPr>
        <w:t>Plausibility &amp; coherence</w:t>
      </w:r>
      <w:r w:rsidRPr="008C5EAB">
        <w:rPr>
          <w:rFonts w:cs="Times New Roman"/>
          <w:szCs w:val="24"/>
        </w:rPr>
        <w:t>: Aligns with biological mechanisms.</w:t>
      </w:r>
    </w:p>
    <w:p w14:paraId="4E5DB610" w14:textId="539EA16F" w:rsidR="008C5EAB" w:rsidRPr="008C5EAB" w:rsidRDefault="008C5EAB" w:rsidP="008C5EAB">
      <w:pPr>
        <w:jc w:val="both"/>
        <w:rPr>
          <w:rFonts w:cs="Times New Roman"/>
          <w:szCs w:val="24"/>
        </w:rPr>
      </w:pPr>
      <w:r w:rsidRPr="008C5EAB">
        <w:rPr>
          <w:rFonts w:cs="Times New Roman"/>
          <w:szCs w:val="24"/>
        </w:rPr>
        <w:t>Limitations include subjectivity and limited capacity to address confounding and complex interactions.</w:t>
      </w:r>
    </w:p>
    <w:p w14:paraId="349C9A19" w14:textId="44B812D3" w:rsidR="008C5EAB" w:rsidRPr="008C5EAB" w:rsidRDefault="008C5EAB" w:rsidP="008C5EAB">
      <w:pPr>
        <w:pStyle w:val="Heading2"/>
      </w:pPr>
      <w:r w:rsidRPr="008C5EAB">
        <w:t>Rothman’s Causal Pie Model</w:t>
      </w:r>
    </w:p>
    <w:p w14:paraId="76D08A05" w14:textId="5AF66330" w:rsidR="008C5EAB" w:rsidRPr="008C5EAB" w:rsidRDefault="008C5EAB" w:rsidP="008C5EAB">
      <w:pPr>
        <w:jc w:val="both"/>
        <w:rPr>
          <w:rFonts w:cs="Times New Roman"/>
          <w:szCs w:val="24"/>
        </w:rPr>
      </w:pPr>
      <w:r w:rsidRPr="008C5EAB">
        <w:rPr>
          <w:rFonts w:cs="Times New Roman"/>
          <w:szCs w:val="24"/>
        </w:rPr>
        <w:t xml:space="preserve">Posits that disease arises from combinations of component causes forming a sufficient cause (complete pie). </w:t>
      </w:r>
    </w:p>
    <w:p w14:paraId="7DBE4F84" w14:textId="77777777" w:rsidR="008C5EAB" w:rsidRPr="008C5EAB" w:rsidRDefault="008C5EAB" w:rsidP="00123BC4">
      <w:pPr>
        <w:jc w:val="both"/>
        <w:rPr>
          <w:rFonts w:cs="Times New Roman"/>
          <w:szCs w:val="24"/>
        </w:rPr>
      </w:pPr>
      <w:r w:rsidRPr="008C5EAB">
        <w:rPr>
          <w:rFonts w:cs="Times New Roman"/>
          <w:i/>
          <w:iCs/>
          <w:szCs w:val="24"/>
        </w:rPr>
        <w:t>Necessary causes</w:t>
      </w:r>
      <w:r w:rsidRPr="008C5EAB">
        <w:rPr>
          <w:rFonts w:cs="Times New Roman"/>
          <w:szCs w:val="24"/>
        </w:rPr>
        <w:t xml:space="preserve"> (must be present)</w:t>
      </w:r>
    </w:p>
    <w:p w14:paraId="08FD68BA" w14:textId="77777777" w:rsidR="008C5EAB" w:rsidRPr="008C5EAB" w:rsidRDefault="008C5EAB" w:rsidP="00123BC4">
      <w:pPr>
        <w:numPr>
          <w:ilvl w:val="0"/>
          <w:numId w:val="22"/>
        </w:numPr>
        <w:jc w:val="both"/>
        <w:rPr>
          <w:rFonts w:cs="Times New Roman"/>
          <w:szCs w:val="24"/>
        </w:rPr>
      </w:pPr>
      <w:r w:rsidRPr="008C5EAB">
        <w:rPr>
          <w:rFonts w:cs="Times New Roman"/>
          <w:i/>
          <w:iCs/>
          <w:szCs w:val="24"/>
        </w:rPr>
        <w:t>Component causes</w:t>
      </w:r>
      <w:r w:rsidRPr="008C5EAB">
        <w:rPr>
          <w:rFonts w:cs="Times New Roman"/>
          <w:szCs w:val="24"/>
        </w:rPr>
        <w:t xml:space="preserve"> (contribute but not sufficient alone)</w:t>
      </w:r>
    </w:p>
    <w:p w14:paraId="7CA75F17" w14:textId="77777777" w:rsidR="008C5EAB" w:rsidRPr="008C5EAB" w:rsidRDefault="008C5EAB" w:rsidP="00123BC4">
      <w:pPr>
        <w:numPr>
          <w:ilvl w:val="0"/>
          <w:numId w:val="22"/>
        </w:numPr>
        <w:jc w:val="both"/>
        <w:rPr>
          <w:rFonts w:cs="Times New Roman"/>
          <w:szCs w:val="24"/>
        </w:rPr>
      </w:pPr>
      <w:r w:rsidRPr="008C5EAB">
        <w:rPr>
          <w:rFonts w:cs="Times New Roman"/>
          <w:i/>
          <w:iCs/>
          <w:szCs w:val="24"/>
        </w:rPr>
        <w:t>Sufficient cause combinations</w:t>
      </w:r>
      <w:r w:rsidRPr="008C5EAB">
        <w:rPr>
          <w:rFonts w:cs="Times New Roman"/>
          <w:szCs w:val="24"/>
        </w:rPr>
        <w:t xml:space="preserve"> (complete causal paths)</w:t>
      </w:r>
    </w:p>
    <w:p w14:paraId="3BF7E60C" w14:textId="04C89EAA" w:rsidR="008C5EAB" w:rsidRPr="008C5EAB" w:rsidRDefault="008C5EAB" w:rsidP="008C5EAB">
      <w:pPr>
        <w:jc w:val="both"/>
        <w:rPr>
          <w:rFonts w:cs="Times New Roman"/>
          <w:szCs w:val="24"/>
        </w:rPr>
      </w:pPr>
      <w:r w:rsidRPr="008C5EAB">
        <w:rPr>
          <w:rFonts w:cs="Times New Roman"/>
          <w:szCs w:val="24"/>
        </w:rPr>
        <w:t xml:space="preserve">This model supports hierarchical classification and the analysis of synergistic interactions. </w:t>
      </w:r>
    </w:p>
    <w:p w14:paraId="51904DC8" w14:textId="7F9D919D" w:rsidR="008C5EAB" w:rsidRPr="008C5EAB" w:rsidRDefault="008C5EAB" w:rsidP="008C5EAB">
      <w:pPr>
        <w:pStyle w:val="Heading2"/>
      </w:pPr>
      <w:r w:rsidRPr="008C5EAB">
        <w:t>Nweke’s cumulative risk index (CRI) framework</w:t>
      </w:r>
    </w:p>
    <w:p w14:paraId="2804E56C" w14:textId="55297607" w:rsidR="008C5EAB" w:rsidRPr="008C5EAB" w:rsidRDefault="008C5EAB" w:rsidP="008C5EAB">
      <w:pPr>
        <w:jc w:val="both"/>
        <w:rPr>
          <w:rFonts w:cs="Times New Roman"/>
          <w:szCs w:val="24"/>
        </w:rPr>
      </w:pPr>
      <w:r w:rsidRPr="008C5EAB">
        <w:rPr>
          <w:rFonts w:cs="Times New Roman"/>
          <w:szCs w:val="24"/>
        </w:rPr>
        <w:t>Extends Rothman and Hill’s models with new stratification criteria:</w:t>
      </w:r>
    </w:p>
    <w:p w14:paraId="5EE22C0F" w14:textId="04F75E42" w:rsidR="008C5EAB" w:rsidRPr="008C5EAB" w:rsidRDefault="008C5EAB" w:rsidP="008C5EAB">
      <w:pPr>
        <w:numPr>
          <w:ilvl w:val="0"/>
          <w:numId w:val="23"/>
        </w:numPr>
        <w:jc w:val="both"/>
        <w:rPr>
          <w:rFonts w:cs="Times New Roman"/>
          <w:szCs w:val="24"/>
        </w:rPr>
      </w:pPr>
      <w:r w:rsidRPr="008C5EAB">
        <w:rPr>
          <w:rFonts w:cs="Times New Roman"/>
          <w:i/>
          <w:iCs/>
          <w:szCs w:val="24"/>
        </w:rPr>
        <w:t>Predictive consistency (risk weight)</w:t>
      </w:r>
      <w:r w:rsidRPr="008C5EAB">
        <w:rPr>
          <w:rFonts w:cs="Times New Roman"/>
          <w:szCs w:val="24"/>
        </w:rPr>
        <w:t>: Reproducible associations across contexts.</w:t>
      </w:r>
    </w:p>
    <w:p w14:paraId="25C134C3" w14:textId="3D0D4127" w:rsidR="008C5EAB" w:rsidRPr="008C5EAB" w:rsidRDefault="008C5EAB" w:rsidP="008C5EAB">
      <w:pPr>
        <w:numPr>
          <w:ilvl w:val="0"/>
          <w:numId w:val="23"/>
        </w:numPr>
        <w:jc w:val="both"/>
        <w:rPr>
          <w:rFonts w:cs="Times New Roman"/>
          <w:szCs w:val="24"/>
        </w:rPr>
      </w:pPr>
      <w:r w:rsidRPr="008C5EAB">
        <w:rPr>
          <w:rFonts w:cs="Times New Roman"/>
          <w:i/>
          <w:iCs/>
          <w:szCs w:val="24"/>
        </w:rPr>
        <w:t>Irreversibility</w:t>
      </w:r>
      <w:r w:rsidRPr="008C5EAB">
        <w:rPr>
          <w:rFonts w:cs="Times New Roman"/>
          <w:szCs w:val="24"/>
        </w:rPr>
        <w:t>: The risk factor induces permanent physiological or structural changes; it cannot be protective.</w:t>
      </w:r>
    </w:p>
    <w:p w14:paraId="0011D33E" w14:textId="5B700E46" w:rsidR="008C5EAB" w:rsidRPr="008C5EAB" w:rsidRDefault="008C5EAB" w:rsidP="008C5EAB">
      <w:pPr>
        <w:numPr>
          <w:ilvl w:val="0"/>
          <w:numId w:val="23"/>
        </w:numPr>
        <w:jc w:val="both"/>
        <w:rPr>
          <w:rFonts w:cs="Times New Roman"/>
          <w:szCs w:val="24"/>
        </w:rPr>
      </w:pPr>
      <w:r w:rsidRPr="008C5EAB">
        <w:rPr>
          <w:rFonts w:cs="Times New Roman"/>
          <w:i/>
          <w:iCs/>
          <w:szCs w:val="24"/>
        </w:rPr>
        <w:t>Geotemporal trend</w:t>
      </w:r>
      <w:r w:rsidRPr="008C5EAB">
        <w:rPr>
          <w:rFonts w:cs="Times New Roman"/>
          <w:szCs w:val="24"/>
        </w:rPr>
        <w:t xml:space="preserve">: Measures global and temporal spread of risk factors; favors universally prevalent risk factors. </w:t>
      </w:r>
    </w:p>
    <w:p w14:paraId="46E1A00E" w14:textId="422A5FDC" w:rsidR="008C5EAB" w:rsidRPr="008C5EAB" w:rsidRDefault="008C5EAB" w:rsidP="008C5EAB">
      <w:pPr>
        <w:numPr>
          <w:ilvl w:val="0"/>
          <w:numId w:val="23"/>
        </w:numPr>
        <w:jc w:val="both"/>
        <w:rPr>
          <w:rFonts w:cs="Times New Roman"/>
          <w:szCs w:val="24"/>
        </w:rPr>
      </w:pPr>
      <w:r w:rsidRPr="008C5EAB">
        <w:rPr>
          <w:rFonts w:cs="Times New Roman"/>
          <w:i/>
          <w:iCs/>
          <w:szCs w:val="24"/>
        </w:rPr>
        <w:t xml:space="preserve">Scoring system: </w:t>
      </w:r>
      <w:r w:rsidRPr="008C5EAB">
        <w:rPr>
          <w:rFonts w:cs="Times New Roman"/>
          <w:szCs w:val="24"/>
        </w:rPr>
        <w:t>Causality index (CI) and risk weight (Rw) are assigned based on temporality, plausibility, and public health priority.</w:t>
      </w:r>
    </w:p>
    <w:p w14:paraId="58C60B35" w14:textId="6EAC5309" w:rsidR="008C5EAB" w:rsidRPr="008C5EAB" w:rsidRDefault="008C5EAB" w:rsidP="008C5EAB">
      <w:pPr>
        <w:jc w:val="both"/>
        <w:rPr>
          <w:rFonts w:cs="Times New Roman"/>
          <w:szCs w:val="24"/>
        </w:rPr>
      </w:pPr>
      <w:r w:rsidRPr="008C5EAB">
        <w:rPr>
          <w:rFonts w:cs="Times New Roman"/>
          <w:szCs w:val="24"/>
        </w:rPr>
        <w:lastRenderedPageBreak/>
        <w:t xml:space="preserve">Categories: </w:t>
      </w:r>
    </w:p>
    <w:p w14:paraId="40A8DABA" w14:textId="63FA717C" w:rsidR="008C5EAB" w:rsidRPr="008C5EAB" w:rsidRDefault="008C5EAB" w:rsidP="008C5EAB">
      <w:pPr>
        <w:numPr>
          <w:ilvl w:val="0"/>
          <w:numId w:val="24"/>
        </w:numPr>
        <w:jc w:val="both"/>
        <w:rPr>
          <w:rFonts w:cs="Times New Roman"/>
          <w:szCs w:val="24"/>
        </w:rPr>
      </w:pPr>
      <w:r w:rsidRPr="008C5EAB">
        <w:rPr>
          <w:rFonts w:cs="Times New Roman"/>
          <w:i/>
          <w:iCs/>
          <w:szCs w:val="24"/>
        </w:rPr>
        <w:t>Necessary causes</w:t>
      </w:r>
      <w:r w:rsidRPr="008C5EAB">
        <w:rPr>
          <w:rFonts w:cs="Times New Roman"/>
          <w:szCs w:val="24"/>
        </w:rPr>
        <w:t>: High CI and Rw (e.g., hypertension)</w:t>
      </w:r>
    </w:p>
    <w:p w14:paraId="28DBEFAF" w14:textId="56A3E69D" w:rsidR="008C5EAB" w:rsidRPr="008C5EAB" w:rsidRDefault="008C5EAB" w:rsidP="008C5EAB">
      <w:pPr>
        <w:numPr>
          <w:ilvl w:val="0"/>
          <w:numId w:val="24"/>
        </w:numPr>
        <w:jc w:val="both"/>
        <w:rPr>
          <w:rFonts w:cs="Times New Roman"/>
          <w:szCs w:val="24"/>
        </w:rPr>
      </w:pPr>
      <w:r w:rsidRPr="008C5EAB">
        <w:rPr>
          <w:rFonts w:cs="Times New Roman"/>
          <w:i/>
          <w:iCs/>
          <w:szCs w:val="24"/>
        </w:rPr>
        <w:t>Synergistic/component causes</w:t>
      </w:r>
      <w:r w:rsidRPr="008C5EAB">
        <w:rPr>
          <w:rFonts w:cs="Times New Roman"/>
          <w:szCs w:val="24"/>
        </w:rPr>
        <w:t>: Moderate CI and Rw (e.g., unsuppressed viral load)</w:t>
      </w:r>
    </w:p>
    <w:p w14:paraId="1886C573" w14:textId="6498531A" w:rsidR="008C5EAB" w:rsidRPr="008C5EAB" w:rsidRDefault="008C5EAB" w:rsidP="008C5EAB">
      <w:pPr>
        <w:numPr>
          <w:ilvl w:val="0"/>
          <w:numId w:val="24"/>
        </w:numPr>
        <w:jc w:val="both"/>
        <w:rPr>
          <w:rFonts w:cs="Times New Roman"/>
          <w:szCs w:val="24"/>
        </w:rPr>
      </w:pPr>
      <w:r w:rsidRPr="008C5EAB">
        <w:rPr>
          <w:rFonts w:cs="Times New Roman"/>
          <w:i/>
          <w:iCs/>
          <w:szCs w:val="24"/>
        </w:rPr>
        <w:t>Low-priority/unstable predictors</w:t>
      </w:r>
      <w:r w:rsidRPr="008C5EAB">
        <w:rPr>
          <w:rFonts w:cs="Times New Roman"/>
          <w:szCs w:val="24"/>
        </w:rPr>
        <w:t>: Low CI and Rw, often context-specific</w:t>
      </w:r>
    </w:p>
    <w:p w14:paraId="05517B16" w14:textId="41FB462D" w:rsidR="008C5EAB" w:rsidRPr="008C5EAB" w:rsidRDefault="008C5EAB" w:rsidP="008C5EAB">
      <w:pPr>
        <w:jc w:val="both"/>
        <w:rPr>
          <w:rFonts w:cs="Times New Roman"/>
          <w:szCs w:val="24"/>
        </w:rPr>
      </w:pPr>
      <w:r w:rsidRPr="008C5EAB">
        <w:rPr>
          <w:rFonts w:cs="Times New Roman"/>
          <w:szCs w:val="24"/>
        </w:rPr>
        <w:t>This framework enables evidence synthesis even in the absence of individual participant data and supports prioritization in resource-limited settings.</w:t>
      </w:r>
    </w:p>
    <w:p w14:paraId="6B06B273" w14:textId="77777777" w:rsidR="008C5EAB" w:rsidRPr="008C5EAB" w:rsidRDefault="008C5EAB" w:rsidP="008C5EAB">
      <w:pPr>
        <w:pStyle w:val="Heading1"/>
      </w:pPr>
      <w:r w:rsidRPr="008C5EAB">
        <w:t>Conclusion</w:t>
      </w:r>
    </w:p>
    <w:p w14:paraId="7AF8E6E0" w14:textId="0E2BAC36" w:rsidR="008C5EAB" w:rsidRPr="008C5EAB" w:rsidRDefault="008C5EAB" w:rsidP="008C5EAB">
      <w:pPr>
        <w:jc w:val="both"/>
        <w:rPr>
          <w:rFonts w:cs="Times New Roman"/>
          <w:szCs w:val="24"/>
        </w:rPr>
      </w:pPr>
      <w:r w:rsidRPr="008C5EAB">
        <w:rPr>
          <w:rFonts w:cs="Times New Roman"/>
          <w:szCs w:val="24"/>
        </w:rPr>
        <w:t>These models, used in a complementary manner, enhance the interpretive depth and contextual validity of this review. Their integration provides a robust conceptual foundation for evidence classification and CAD risk stratification in PLWH.</w:t>
      </w:r>
    </w:p>
    <w:p w14:paraId="39BE1E61" w14:textId="77777777" w:rsidR="008C5EAB" w:rsidRPr="008C5EAB" w:rsidRDefault="008C5EAB" w:rsidP="008C5EAB">
      <w:pPr>
        <w:jc w:val="both"/>
        <w:rPr>
          <w:rFonts w:cs="Times New Roman"/>
          <w:szCs w:val="24"/>
        </w:rPr>
      </w:pPr>
    </w:p>
    <w:p w14:paraId="4DA04495" w14:textId="77777777" w:rsidR="008C5EAB" w:rsidRPr="008C5EAB" w:rsidRDefault="008C5EAB" w:rsidP="008C5EAB">
      <w:pPr>
        <w:jc w:val="both"/>
        <w:rPr>
          <w:rFonts w:cs="Times New Roman"/>
          <w:szCs w:val="24"/>
        </w:rPr>
      </w:pPr>
    </w:p>
    <w:p w14:paraId="1873DDB3" w14:textId="77777777" w:rsidR="008C5EAB" w:rsidRPr="008C5EAB" w:rsidRDefault="008C5EAB" w:rsidP="008C5EAB">
      <w:pPr>
        <w:jc w:val="both"/>
        <w:rPr>
          <w:rFonts w:cs="Times New Roman"/>
          <w:szCs w:val="24"/>
        </w:rPr>
      </w:pPr>
      <w:r w:rsidRPr="008C5EAB">
        <w:rPr>
          <w:rFonts w:cs="Times New Roman"/>
          <w:noProof/>
          <w:szCs w:val="24"/>
        </w:rPr>
        <w:drawing>
          <wp:inline distT="0" distB="0" distL="0" distR="0" wp14:anchorId="78FF7CD2" wp14:editId="7C6489E2">
            <wp:extent cx="4594225" cy="4129086"/>
            <wp:effectExtent l="0" t="0" r="0" b="5080"/>
            <wp:docPr id="4" name="Picture 4" descr="C:\Users\Dell\Downloads\ChatGPT Image Jun 21, 2025, 11_03_1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ell\Downloads\ChatGPT Image Jun 21, 2025, 11_03_16 A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09551" cy="4142860"/>
                    </a:xfrm>
                    <a:prstGeom prst="rect">
                      <a:avLst/>
                    </a:prstGeom>
                    <a:noFill/>
                    <a:ln>
                      <a:noFill/>
                    </a:ln>
                  </pic:spPr>
                </pic:pic>
              </a:graphicData>
            </a:graphic>
          </wp:inline>
        </w:drawing>
      </w:r>
    </w:p>
    <w:p w14:paraId="300CE023" w14:textId="2944B833" w:rsidR="008C5EAB" w:rsidRPr="008C5EAB" w:rsidRDefault="008C5EAB" w:rsidP="008C5EAB">
      <w:pPr>
        <w:jc w:val="both"/>
        <w:rPr>
          <w:rFonts w:cs="Times New Roman"/>
          <w:b/>
          <w:szCs w:val="24"/>
        </w:rPr>
      </w:pPr>
      <w:r w:rsidRPr="008C5EAB">
        <w:rPr>
          <w:rFonts w:cs="Times New Roman"/>
          <w:b/>
          <w:szCs w:val="24"/>
        </w:rPr>
        <w:t>S1 Figure 1: Flowchart illustrating the application of integrated theoretical models for CAD risk stratification in PLWH</w:t>
      </w:r>
    </w:p>
    <w:p w14:paraId="58F1AED1" w14:textId="77777777" w:rsidR="00DE23E8" w:rsidRDefault="00DE23E8" w:rsidP="00654E8F">
      <w:pPr>
        <w:spacing w:before="240"/>
      </w:pPr>
    </w:p>
    <w:p w14:paraId="0CB4BFCE" w14:textId="40D43E64" w:rsidR="00E5711B" w:rsidRPr="00E5711B" w:rsidRDefault="00E5711B" w:rsidP="00E5711B">
      <w:pPr>
        <w:spacing w:before="240" w:line="276" w:lineRule="auto"/>
        <w:rPr>
          <w:rFonts w:ascii="Aptos" w:hAnsi="Aptos"/>
          <w:sz w:val="22"/>
        </w:rPr>
      </w:pPr>
      <w:r w:rsidRPr="00E5711B">
        <w:rPr>
          <w:rFonts w:ascii="Aptos" w:hAnsi="Aptos"/>
          <w:sz w:val="22"/>
        </w:rPr>
        <w:lastRenderedPageBreak/>
        <w:t>References:</w:t>
      </w:r>
    </w:p>
    <w:p w14:paraId="53F87B13" w14:textId="77777777"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bCs/>
          <w:sz w:val="22"/>
          <w:szCs w:val="22"/>
        </w:rPr>
        <w:t>Murray A, Huang MJ, Hardnett F, Sutton MY. Strengthening HIV knowledge and awareness among undergraduate students at historically black colleges and universities. Journal of Health Disparities Research and Practice. 2014;7(4):4.</w:t>
      </w:r>
    </w:p>
    <w:p w14:paraId="7E966CAD" w14:textId="77777777"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sz w:val="22"/>
          <w:szCs w:val="22"/>
        </w:rPr>
        <w:t>Hill AB.</w:t>
      </w:r>
      <w:r w:rsidRPr="00E5711B">
        <w:rPr>
          <w:rFonts w:ascii="Aptos" w:hAnsi="Aptos" w:cs="Arial"/>
          <w:bCs/>
          <w:sz w:val="22"/>
          <w:szCs w:val="22"/>
        </w:rPr>
        <w:t xml:space="preserve"> The environment and disease: association or causation? </w:t>
      </w:r>
      <w:r w:rsidRPr="00E5711B">
        <w:rPr>
          <w:rFonts w:ascii="Aptos" w:hAnsi="Aptos" w:cs="Arial"/>
          <w:bCs/>
          <w:i/>
          <w:iCs/>
          <w:sz w:val="22"/>
          <w:szCs w:val="22"/>
        </w:rPr>
        <w:t>Proc R Soc Med.</w:t>
      </w:r>
      <w:r w:rsidRPr="00E5711B">
        <w:rPr>
          <w:rFonts w:ascii="Aptos" w:hAnsi="Aptos" w:cs="Arial"/>
          <w:bCs/>
          <w:sz w:val="22"/>
          <w:szCs w:val="22"/>
        </w:rPr>
        <w:t xml:space="preserve"> 1965;58(5):295–300.</w:t>
      </w:r>
    </w:p>
    <w:p w14:paraId="6BD434D0" w14:textId="77777777"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bCs/>
          <w:sz w:val="22"/>
          <w:szCs w:val="22"/>
        </w:rPr>
        <w:t>Rothman KJ. Causes. American journal of epidemiology. 1976 Dec 1;104(6):587-92.</w:t>
      </w:r>
    </w:p>
    <w:p w14:paraId="46FAF517" w14:textId="77777777"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bCs/>
          <w:sz w:val="22"/>
          <w:szCs w:val="22"/>
        </w:rPr>
        <w:t xml:space="preserve">Nweke M, Ukwuoma M, Adiuku-Brown AC, Ugwu P, Nseka E. Characterization and stratification of the correlates of postpartum depression in sub-Saharan Africa: A systematic review with meta-analysis. Women's Health. 2022 </w:t>
      </w:r>
      <w:proofErr w:type="gramStart"/>
      <w:r w:rsidRPr="00E5711B">
        <w:rPr>
          <w:rFonts w:ascii="Aptos" w:hAnsi="Aptos" w:cs="Arial"/>
          <w:bCs/>
          <w:sz w:val="22"/>
          <w:szCs w:val="22"/>
        </w:rPr>
        <w:t>Aug;18:17455057221118773</w:t>
      </w:r>
      <w:proofErr w:type="gramEnd"/>
      <w:r w:rsidRPr="00E5711B">
        <w:rPr>
          <w:rFonts w:ascii="Aptos" w:hAnsi="Aptos" w:cs="Arial"/>
          <w:bCs/>
          <w:sz w:val="22"/>
          <w:szCs w:val="22"/>
        </w:rPr>
        <w:t>.</w:t>
      </w:r>
    </w:p>
    <w:p w14:paraId="249951FE" w14:textId="77777777"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bCs/>
          <w:sz w:val="22"/>
          <w:szCs w:val="22"/>
        </w:rPr>
        <w:t xml:space="preserve">Nweke M, van Vuuren M, Bester K, Maritz A, van Vuuren L, Vilakazi Y, Dlamini A, Ncedani A, Mostert K. Association between socio-demographic and injury factors, and physical activity behaviour in people with spinal cord injury: a theory-informed systematic review and meta-analysis. BMC Sports Science, Medicine and Rehabilitation. </w:t>
      </w:r>
      <w:proofErr w:type="gramStart"/>
      <w:r w:rsidRPr="00E5711B">
        <w:rPr>
          <w:rFonts w:ascii="Aptos" w:hAnsi="Aptos" w:cs="Arial"/>
          <w:bCs/>
          <w:sz w:val="22"/>
          <w:szCs w:val="22"/>
        </w:rPr>
        <w:t>2025;17:179</w:t>
      </w:r>
      <w:proofErr w:type="gramEnd"/>
      <w:r w:rsidRPr="00E5711B">
        <w:rPr>
          <w:rFonts w:ascii="Aptos" w:hAnsi="Aptos" w:cs="Arial"/>
          <w:bCs/>
          <w:sz w:val="22"/>
          <w:szCs w:val="22"/>
        </w:rPr>
        <w:t>.</w:t>
      </w:r>
    </w:p>
    <w:p w14:paraId="28EB4090" w14:textId="77777777" w:rsidR="00E5711B" w:rsidRPr="00E5711B" w:rsidRDefault="00E5711B" w:rsidP="00E5711B">
      <w:pPr>
        <w:pStyle w:val="ListParagraph"/>
        <w:numPr>
          <w:ilvl w:val="0"/>
          <w:numId w:val="25"/>
        </w:numPr>
        <w:spacing w:before="0" w:after="0" w:line="276" w:lineRule="auto"/>
        <w:ind w:left="1080"/>
        <w:rPr>
          <w:rFonts w:ascii="Aptos" w:eastAsia="Times New Roman" w:hAnsi="Aptos" w:cs="Arial"/>
          <w:bCs/>
          <w:sz w:val="22"/>
          <w:szCs w:val="22"/>
        </w:rPr>
      </w:pPr>
      <w:r w:rsidRPr="00E5711B">
        <w:rPr>
          <w:rFonts w:ascii="Aptos" w:eastAsia="Times New Roman" w:hAnsi="Aptos" w:cs="Arial"/>
          <w:bCs/>
          <w:sz w:val="22"/>
          <w:szCs w:val="22"/>
        </w:rPr>
        <w:t>Nweke M, Mshunqane N. Characterization and stratification of risk factors of stroke in people living with HIV: A theory-informed systematic review. BMC Cardiovascular Disorders. 2025;25(1):405.</w:t>
      </w:r>
    </w:p>
    <w:p w14:paraId="64188C22" w14:textId="77777777" w:rsidR="00E5711B" w:rsidRPr="00E5711B" w:rsidRDefault="00E5711B" w:rsidP="00E5711B">
      <w:pPr>
        <w:pStyle w:val="ListParagraph"/>
        <w:numPr>
          <w:ilvl w:val="0"/>
          <w:numId w:val="25"/>
        </w:numPr>
        <w:spacing w:before="0" w:after="0" w:line="276" w:lineRule="auto"/>
        <w:ind w:left="1080"/>
        <w:rPr>
          <w:rFonts w:ascii="Aptos" w:eastAsia="Times New Roman" w:hAnsi="Aptos" w:cs="Arial"/>
          <w:bCs/>
          <w:sz w:val="22"/>
          <w:szCs w:val="22"/>
        </w:rPr>
      </w:pPr>
      <w:r w:rsidRPr="00E5711B">
        <w:rPr>
          <w:rFonts w:ascii="Aptos" w:eastAsia="Times New Roman" w:hAnsi="Aptos" w:cs="Arial"/>
          <w:bCs/>
          <w:sz w:val="22"/>
          <w:szCs w:val="22"/>
        </w:rPr>
        <w:t xml:space="preserve">Nweke M, </w:t>
      </w:r>
      <w:proofErr w:type="spellStart"/>
      <w:r w:rsidRPr="00E5711B">
        <w:rPr>
          <w:rFonts w:ascii="Aptos" w:eastAsia="Times New Roman" w:hAnsi="Aptos" w:cs="Arial"/>
          <w:bCs/>
          <w:sz w:val="22"/>
          <w:szCs w:val="22"/>
        </w:rPr>
        <w:t>Oyirinnaya</w:t>
      </w:r>
      <w:proofErr w:type="spellEnd"/>
      <w:r w:rsidRPr="00E5711B">
        <w:rPr>
          <w:rFonts w:ascii="Aptos" w:eastAsia="Times New Roman" w:hAnsi="Aptos" w:cs="Arial"/>
          <w:bCs/>
          <w:sz w:val="22"/>
          <w:szCs w:val="22"/>
        </w:rPr>
        <w:t xml:space="preserve"> P, </w:t>
      </w:r>
      <w:proofErr w:type="spellStart"/>
      <w:r w:rsidRPr="00E5711B">
        <w:rPr>
          <w:rFonts w:ascii="Aptos" w:eastAsia="Times New Roman" w:hAnsi="Aptos" w:cs="Arial"/>
          <w:bCs/>
          <w:sz w:val="22"/>
          <w:szCs w:val="22"/>
        </w:rPr>
        <w:t>Nwoha</w:t>
      </w:r>
      <w:proofErr w:type="spellEnd"/>
      <w:r w:rsidRPr="00E5711B">
        <w:rPr>
          <w:rFonts w:ascii="Aptos" w:eastAsia="Times New Roman" w:hAnsi="Aptos" w:cs="Arial"/>
          <w:bCs/>
          <w:sz w:val="22"/>
          <w:szCs w:val="22"/>
        </w:rPr>
        <w:t xml:space="preserve"> P, </w:t>
      </w:r>
      <w:proofErr w:type="spellStart"/>
      <w:r w:rsidRPr="00E5711B">
        <w:rPr>
          <w:rFonts w:ascii="Aptos" w:eastAsia="Times New Roman" w:hAnsi="Aptos" w:cs="Arial"/>
          <w:bCs/>
          <w:sz w:val="22"/>
          <w:szCs w:val="22"/>
        </w:rPr>
        <w:t>Mitha</w:t>
      </w:r>
      <w:proofErr w:type="spellEnd"/>
      <w:r w:rsidRPr="00E5711B">
        <w:rPr>
          <w:rFonts w:ascii="Aptos" w:eastAsia="Times New Roman" w:hAnsi="Aptos" w:cs="Arial"/>
          <w:bCs/>
          <w:sz w:val="22"/>
          <w:szCs w:val="22"/>
        </w:rPr>
        <w:t xml:space="preserve"> SB, Mshunqane N, Govender N, Ukwuoma M, Ibeneme SC. Development of a high-performing, cost-effective and inclusive Afrocentric predictive model for stroke: a meta-analysis approach. BMC neurology. 2025 Jul 7;25(1):282.</w:t>
      </w:r>
    </w:p>
    <w:p w14:paraId="1CC4DA8E" w14:textId="77777777" w:rsidR="00E5711B" w:rsidRPr="00E5711B" w:rsidRDefault="00E5711B" w:rsidP="00E5711B">
      <w:pPr>
        <w:pStyle w:val="ListParagraph"/>
        <w:numPr>
          <w:ilvl w:val="0"/>
          <w:numId w:val="25"/>
        </w:numPr>
        <w:spacing w:before="0" w:after="0" w:line="276" w:lineRule="auto"/>
        <w:ind w:left="1080"/>
        <w:rPr>
          <w:rFonts w:ascii="Aptos" w:eastAsia="Times New Roman" w:hAnsi="Aptos" w:cs="Arial"/>
          <w:bCs/>
          <w:sz w:val="22"/>
          <w:szCs w:val="22"/>
        </w:rPr>
      </w:pPr>
      <w:r w:rsidRPr="00E5711B">
        <w:rPr>
          <w:rFonts w:ascii="Aptos" w:eastAsia="Times New Roman" w:hAnsi="Aptos" w:cs="Arial"/>
          <w:bCs/>
          <w:sz w:val="22"/>
          <w:szCs w:val="22"/>
        </w:rPr>
        <w:t xml:space="preserve">Nwagha T, Nweke M. Stratification of risk factors of lung cancer-associated venous thromboembolism and determining the critical point for preemptive intervention: A systematic review with meta-analysis. Clinical Medicine Insights: Oncology. 2023 </w:t>
      </w:r>
      <w:proofErr w:type="gramStart"/>
      <w:r w:rsidRPr="00E5711B">
        <w:rPr>
          <w:rFonts w:ascii="Aptos" w:eastAsia="Times New Roman" w:hAnsi="Aptos" w:cs="Arial"/>
          <w:bCs/>
          <w:sz w:val="22"/>
          <w:szCs w:val="22"/>
        </w:rPr>
        <w:t>Jun;17:11795549231175221</w:t>
      </w:r>
      <w:proofErr w:type="gramEnd"/>
      <w:r w:rsidRPr="00E5711B">
        <w:rPr>
          <w:rFonts w:ascii="Aptos" w:eastAsia="Times New Roman" w:hAnsi="Aptos" w:cs="Arial"/>
          <w:bCs/>
          <w:sz w:val="22"/>
          <w:szCs w:val="22"/>
        </w:rPr>
        <w:t>.</w:t>
      </w:r>
    </w:p>
    <w:p w14:paraId="1785DE4F" w14:textId="6DAD980A" w:rsidR="00E5711B" w:rsidRPr="00E5711B" w:rsidRDefault="00E5711B" w:rsidP="00E5711B">
      <w:pPr>
        <w:pStyle w:val="ListParagraph"/>
        <w:numPr>
          <w:ilvl w:val="0"/>
          <w:numId w:val="25"/>
        </w:numPr>
        <w:spacing w:before="0" w:after="0" w:line="276" w:lineRule="auto"/>
        <w:ind w:left="1080"/>
        <w:jc w:val="both"/>
        <w:rPr>
          <w:rFonts w:ascii="Aptos" w:hAnsi="Aptos" w:cs="Arial"/>
          <w:bCs/>
          <w:sz w:val="22"/>
          <w:szCs w:val="22"/>
        </w:rPr>
      </w:pPr>
      <w:r w:rsidRPr="00E5711B">
        <w:rPr>
          <w:rFonts w:ascii="Aptos" w:hAnsi="Aptos" w:cs="Arial"/>
          <w:bCs/>
          <w:sz w:val="22"/>
          <w:szCs w:val="22"/>
        </w:rPr>
        <w:t>Ibeneme SC, Odoh E, Martins N, Ibeneme GC. Developing an HIV-specific falls risk prediction model with a novel clinical index: a systematic review and meta-analysis method. BMC Infectious Diseases. 2024;24(1):1402.</w:t>
      </w:r>
    </w:p>
    <w:p w14:paraId="05AE3C04" w14:textId="77777777" w:rsidR="00E5711B" w:rsidRDefault="00E5711B" w:rsidP="00E5711B"/>
    <w:p w14:paraId="710B2788" w14:textId="77777777" w:rsidR="00E5711B" w:rsidRPr="001549D3" w:rsidRDefault="00E5711B" w:rsidP="00654E8F">
      <w:pPr>
        <w:spacing w:before="240"/>
      </w:pPr>
    </w:p>
    <w:sectPr w:rsidR="00E5711B" w:rsidRPr="001549D3" w:rsidSect="0093429D">
      <w:headerReference w:type="even" r:id="rId13"/>
      <w:footerReference w:type="even" r:id="rId14"/>
      <w:footerReference w:type="default" r:id="rId15"/>
      <w:headerReference w:type="first" r:id="rId1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0F3539" w14:textId="77777777" w:rsidR="000D7E1A" w:rsidRDefault="000D7E1A" w:rsidP="00117666">
      <w:pPr>
        <w:spacing w:after="0"/>
      </w:pPr>
      <w:r>
        <w:separator/>
      </w:r>
    </w:p>
  </w:endnote>
  <w:endnote w:type="continuationSeparator" w:id="0">
    <w:p w14:paraId="5428FFF9" w14:textId="77777777" w:rsidR="000D7E1A" w:rsidRDefault="000D7E1A"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14AB28" w14:textId="77777777" w:rsidR="00425102"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2FF27" w14:textId="77777777" w:rsidR="00425102"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174DF8" w14:textId="77777777" w:rsidR="000D7E1A" w:rsidRDefault="000D7E1A" w:rsidP="00117666">
      <w:pPr>
        <w:spacing w:after="0"/>
      </w:pPr>
      <w:r>
        <w:separator/>
      </w:r>
    </w:p>
  </w:footnote>
  <w:footnote w:type="continuationSeparator" w:id="0">
    <w:p w14:paraId="1D574C81" w14:textId="77777777" w:rsidR="000D7E1A" w:rsidRDefault="000D7E1A"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1EDBA" w14:textId="77777777" w:rsidR="00425102"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11A5B" w14:textId="77777777" w:rsidR="00425102"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2C56A75"/>
    <w:multiLevelType w:val="multilevel"/>
    <w:tmpl w:val="02C56A7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9500AA4"/>
    <w:multiLevelType w:val="multilevel"/>
    <w:tmpl w:val="C2F84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491422"/>
    <w:multiLevelType w:val="multilevel"/>
    <w:tmpl w:val="07FE0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604FEA"/>
    <w:multiLevelType w:val="multilevel"/>
    <w:tmpl w:val="24427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601678"/>
    <w:multiLevelType w:val="multilevel"/>
    <w:tmpl w:val="7E10A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5ED5DC7"/>
    <w:multiLevelType w:val="multilevel"/>
    <w:tmpl w:val="CC8CAB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10"/>
  </w:num>
  <w:num w:numId="3">
    <w:abstractNumId w:val="2"/>
  </w:num>
  <w:num w:numId="4">
    <w:abstractNumId w:val="1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2"/>
  </w:num>
  <w:num w:numId="8">
    <w:abstractNumId w:val="12"/>
  </w:num>
  <w:num w:numId="9">
    <w:abstractNumId w:val="12"/>
  </w:num>
  <w:num w:numId="10">
    <w:abstractNumId w:val="12"/>
  </w:num>
  <w:num w:numId="11">
    <w:abstractNumId w:val="12"/>
  </w:num>
  <w:num w:numId="12">
    <w:abstractNumId w:val="12"/>
  </w:num>
  <w:num w:numId="13">
    <w:abstractNumId w:val="4"/>
  </w:num>
  <w:num w:numId="14">
    <w:abstractNumId w:val="3"/>
  </w:num>
  <w:num w:numId="15">
    <w:abstractNumId w:val="3"/>
  </w:num>
  <w:num w:numId="16">
    <w:abstractNumId w:val="3"/>
  </w:num>
  <w:num w:numId="17">
    <w:abstractNumId w:val="3"/>
  </w:num>
  <w:num w:numId="18">
    <w:abstractNumId w:val="3"/>
  </w:num>
  <w:num w:numId="19">
    <w:abstractNumId w:val="3"/>
  </w:num>
  <w:num w:numId="20">
    <w:abstractNumId w:val="5"/>
  </w:num>
  <w:num w:numId="21">
    <w:abstractNumId w:val="7"/>
  </w:num>
  <w:num w:numId="22">
    <w:abstractNumId w:val="9"/>
  </w:num>
  <w:num w:numId="23">
    <w:abstractNumId w:val="6"/>
  </w:num>
  <w:num w:numId="24">
    <w:abstractNumId w:val="8"/>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26D25"/>
    <w:rsid w:val="00034304"/>
    <w:rsid w:val="00035434"/>
    <w:rsid w:val="00052A14"/>
    <w:rsid w:val="00077D53"/>
    <w:rsid w:val="000D7E1A"/>
    <w:rsid w:val="00105FD9"/>
    <w:rsid w:val="00117666"/>
    <w:rsid w:val="00123BC4"/>
    <w:rsid w:val="001549D3"/>
    <w:rsid w:val="00160065"/>
    <w:rsid w:val="00177D84"/>
    <w:rsid w:val="00267D18"/>
    <w:rsid w:val="002868E2"/>
    <w:rsid w:val="002869C3"/>
    <w:rsid w:val="002936E4"/>
    <w:rsid w:val="002B4A57"/>
    <w:rsid w:val="002C74CA"/>
    <w:rsid w:val="003544FB"/>
    <w:rsid w:val="003D2F2D"/>
    <w:rsid w:val="00401590"/>
    <w:rsid w:val="00425102"/>
    <w:rsid w:val="00447801"/>
    <w:rsid w:val="00452E9C"/>
    <w:rsid w:val="004735C8"/>
    <w:rsid w:val="004961FF"/>
    <w:rsid w:val="004A6E4C"/>
    <w:rsid w:val="00517A89"/>
    <w:rsid w:val="005250F2"/>
    <w:rsid w:val="005721CC"/>
    <w:rsid w:val="00593EEA"/>
    <w:rsid w:val="005A5EEE"/>
    <w:rsid w:val="006375C7"/>
    <w:rsid w:val="00654E8F"/>
    <w:rsid w:val="00660D05"/>
    <w:rsid w:val="006820B1"/>
    <w:rsid w:val="006B7D14"/>
    <w:rsid w:val="0070103A"/>
    <w:rsid w:val="00701727"/>
    <w:rsid w:val="0070566C"/>
    <w:rsid w:val="00714C50"/>
    <w:rsid w:val="00725A7D"/>
    <w:rsid w:val="007501BE"/>
    <w:rsid w:val="00790BB3"/>
    <w:rsid w:val="007C206C"/>
    <w:rsid w:val="00803D24"/>
    <w:rsid w:val="00817DD6"/>
    <w:rsid w:val="00885156"/>
    <w:rsid w:val="008C5EAB"/>
    <w:rsid w:val="009151AA"/>
    <w:rsid w:val="0093429D"/>
    <w:rsid w:val="00943573"/>
    <w:rsid w:val="00970F7D"/>
    <w:rsid w:val="00994A3D"/>
    <w:rsid w:val="009C2B12"/>
    <w:rsid w:val="009C70F3"/>
    <w:rsid w:val="009D2003"/>
    <w:rsid w:val="00A144C8"/>
    <w:rsid w:val="00A174D9"/>
    <w:rsid w:val="00A569CD"/>
    <w:rsid w:val="00AB6715"/>
    <w:rsid w:val="00B1671E"/>
    <w:rsid w:val="00B25EB8"/>
    <w:rsid w:val="00B354E1"/>
    <w:rsid w:val="00B37F4D"/>
    <w:rsid w:val="00C52A7B"/>
    <w:rsid w:val="00C56BAF"/>
    <w:rsid w:val="00C679AA"/>
    <w:rsid w:val="00C75972"/>
    <w:rsid w:val="00CC0A3A"/>
    <w:rsid w:val="00CD066B"/>
    <w:rsid w:val="00CE4FEE"/>
    <w:rsid w:val="00DB59C3"/>
    <w:rsid w:val="00DC259A"/>
    <w:rsid w:val="00DE23E8"/>
    <w:rsid w:val="00E52377"/>
    <w:rsid w:val="00E5711B"/>
    <w:rsid w:val="00E64E17"/>
    <w:rsid w:val="00E866C9"/>
    <w:rsid w:val="00EA3D3C"/>
    <w:rsid w:val="00ED739D"/>
    <w:rsid w:val="00F05BC3"/>
    <w:rsid w:val="00F46900"/>
    <w:rsid w:val="00F61D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3.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4.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02E57FC-D091-4F45-A2E5-6C1F43568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4</Pages>
  <Words>1098</Words>
  <Characters>6264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Mrs. HJ Lotter</cp:lastModifiedBy>
  <cp:revision>2</cp:revision>
  <cp:lastPrinted>2013-10-03T12:51:00Z</cp:lastPrinted>
  <dcterms:created xsi:type="dcterms:W3CDTF">2025-10-03T09:41:00Z</dcterms:created>
  <dcterms:modified xsi:type="dcterms:W3CDTF">2025-10-03T09:41:00Z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y fmtid="{D5CDD505-2E9C-101B-9397-08002B2CF9AE}" pid="10" name="GrammarlyDocumentId">
    <vt:lpwstr>95c4291d-8933-4b45-8d25-857fc98ce824</vt:lpwstr>
  </property>
</Properties>
</file>